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741" w:rsidRPr="0052766A" w:rsidRDefault="00282741" w:rsidP="0052766A">
      <w:pPr>
        <w:spacing w:after="0" w:line="360" w:lineRule="auto"/>
        <w:contextualSpacing/>
        <w:jc w:val="both"/>
        <w:rPr>
          <w:rFonts w:ascii="Palatino Linotype" w:hAnsi="Palatino Linotype" w:cs="Tahoma"/>
          <w:b/>
        </w:rPr>
      </w:pPr>
      <w:r w:rsidRPr="0052766A">
        <w:rPr>
          <w:rFonts w:ascii="Palatino Linotype" w:hAnsi="Palatino Linotype" w:cs="Tahoma"/>
          <w:b/>
        </w:rPr>
        <w:t>VOTO PARTICULAR QUE FORMULA EL COMISIONADO LUIS GUSTAVO PARRA NORIEGA, A LA RESOLUCIÓN DEL RECURSO DE REVISIÓN 002</w:t>
      </w:r>
      <w:r w:rsidR="00A072DB" w:rsidRPr="0052766A">
        <w:rPr>
          <w:rFonts w:ascii="Palatino Linotype" w:hAnsi="Palatino Linotype" w:cs="Tahoma"/>
          <w:b/>
        </w:rPr>
        <w:t>52</w:t>
      </w:r>
      <w:r w:rsidRPr="0052766A">
        <w:rPr>
          <w:rFonts w:ascii="Palatino Linotype" w:hAnsi="Palatino Linotype" w:cs="Tahoma"/>
          <w:b/>
        </w:rPr>
        <w:t>/INFOEM/IP/RR/2019</w:t>
      </w:r>
      <w:r w:rsidR="00A072DB" w:rsidRPr="0052766A">
        <w:rPr>
          <w:rFonts w:ascii="Palatino Linotype" w:hAnsi="Palatino Linotype" w:cs="Tahoma"/>
          <w:b/>
        </w:rPr>
        <w:t xml:space="preserve"> Y ACUMULADOS</w:t>
      </w:r>
      <w:r w:rsidRPr="0052766A">
        <w:rPr>
          <w:rFonts w:ascii="Palatino Linotype" w:hAnsi="Palatino Linotype" w:cs="Tahoma"/>
          <w:b/>
        </w:rPr>
        <w:t>, PROMOVIDO EN CONTRA DE</w:t>
      </w:r>
      <w:r w:rsidR="00A072DB" w:rsidRPr="0052766A">
        <w:rPr>
          <w:rFonts w:ascii="Palatino Linotype" w:hAnsi="Palatino Linotype" w:cs="Tahoma"/>
          <w:b/>
        </w:rPr>
        <w:t xml:space="preserve"> </w:t>
      </w:r>
      <w:r w:rsidRPr="0052766A">
        <w:rPr>
          <w:rFonts w:ascii="Palatino Linotype" w:hAnsi="Palatino Linotype" w:cs="Tahoma"/>
          <w:b/>
        </w:rPr>
        <w:t>L</w:t>
      </w:r>
      <w:r w:rsidR="00A072DB" w:rsidRPr="0052766A">
        <w:rPr>
          <w:rFonts w:ascii="Palatino Linotype" w:hAnsi="Palatino Linotype" w:cs="Tahoma"/>
          <w:b/>
        </w:rPr>
        <w:t>A UNIVERSIDAD POLITÉCNICA DEL VALLE DE TOLUCA.</w:t>
      </w:r>
    </w:p>
    <w:p w:rsidR="00282741" w:rsidRPr="0052766A" w:rsidRDefault="00282741" w:rsidP="0052766A">
      <w:pPr>
        <w:spacing w:after="0" w:line="360" w:lineRule="auto"/>
        <w:contextualSpacing/>
        <w:jc w:val="both"/>
        <w:rPr>
          <w:rFonts w:ascii="Palatino Linotype" w:hAnsi="Palatino Linotype" w:cs="Tahoma"/>
        </w:rPr>
      </w:pPr>
    </w:p>
    <w:p w:rsidR="00282741" w:rsidRPr="0052766A" w:rsidRDefault="00282741" w:rsidP="0052766A">
      <w:pPr>
        <w:spacing w:after="0" w:line="360" w:lineRule="auto"/>
        <w:contextualSpacing/>
        <w:jc w:val="both"/>
        <w:rPr>
          <w:rFonts w:ascii="Palatino Linotype" w:hAnsi="Palatino Linotype" w:cs="Tahoma"/>
        </w:rPr>
      </w:pPr>
      <w:r w:rsidRPr="0052766A">
        <w:rPr>
          <w:rFonts w:ascii="Palatino Linotype" w:hAnsi="Palatino Linotype" w:cs="Tahoma"/>
        </w:rPr>
        <w:t xml:space="preserve">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31, segundo párrafo y 44 último párrafo, de los Lineamientos de las Sesiones del Pleno del Instituto de Transparencia, Acceso a la Información Pública y Protección de Datos Personales del Estado de México y Municipios, emito el presente </w:t>
      </w:r>
      <w:r w:rsidRPr="0052766A">
        <w:rPr>
          <w:rFonts w:ascii="Palatino Linotype" w:hAnsi="Palatino Linotype" w:cs="Tahoma"/>
          <w:b/>
        </w:rPr>
        <w:t>Voto Particular</w:t>
      </w:r>
      <w:r w:rsidRPr="0052766A">
        <w:rPr>
          <w:rFonts w:ascii="Palatino Linotype" w:hAnsi="Palatino Linotype" w:cs="Tahoma"/>
        </w:rPr>
        <w:t xml:space="preserve"> a la Resolución del Recurso de Revisión </w:t>
      </w:r>
      <w:r w:rsidRPr="0052766A">
        <w:rPr>
          <w:rFonts w:ascii="Palatino Linotype" w:hAnsi="Palatino Linotype" w:cs="Tahoma"/>
          <w:b/>
        </w:rPr>
        <w:t>002</w:t>
      </w:r>
      <w:r w:rsidR="00A072DB" w:rsidRPr="0052766A">
        <w:rPr>
          <w:rFonts w:ascii="Palatino Linotype" w:hAnsi="Palatino Linotype" w:cs="Tahoma"/>
          <w:b/>
        </w:rPr>
        <w:t>52</w:t>
      </w:r>
      <w:r w:rsidRPr="0052766A">
        <w:rPr>
          <w:rFonts w:ascii="Palatino Linotype" w:hAnsi="Palatino Linotype" w:cs="Tahoma"/>
          <w:b/>
        </w:rPr>
        <w:t>/INFOEM/IP/RR/2019</w:t>
      </w:r>
      <w:r w:rsidR="00A072DB" w:rsidRPr="0052766A">
        <w:rPr>
          <w:rFonts w:ascii="Palatino Linotype" w:hAnsi="Palatino Linotype" w:cs="Tahoma"/>
          <w:b/>
        </w:rPr>
        <w:t xml:space="preserve"> </w:t>
      </w:r>
      <w:r w:rsidR="0052766A">
        <w:rPr>
          <w:rFonts w:ascii="Palatino Linotype" w:hAnsi="Palatino Linotype" w:cs="Tahoma"/>
          <w:b/>
        </w:rPr>
        <w:t>y</w:t>
      </w:r>
      <w:r w:rsidR="00A072DB" w:rsidRPr="0052766A">
        <w:rPr>
          <w:rFonts w:ascii="Palatino Linotype" w:hAnsi="Palatino Linotype" w:cs="Tahoma"/>
          <w:b/>
        </w:rPr>
        <w:t xml:space="preserve"> </w:t>
      </w:r>
      <w:r w:rsidR="0052766A" w:rsidRPr="0052766A">
        <w:rPr>
          <w:rFonts w:ascii="Palatino Linotype" w:hAnsi="Palatino Linotype" w:cs="Tahoma"/>
          <w:b/>
        </w:rPr>
        <w:t>acumulados</w:t>
      </w:r>
      <w:r w:rsidR="0052766A">
        <w:rPr>
          <w:rFonts w:ascii="Palatino Linotype" w:hAnsi="Palatino Linotype" w:cs="Tahoma"/>
          <w:b/>
        </w:rPr>
        <w:t>.</w:t>
      </w:r>
    </w:p>
    <w:p w:rsidR="00F3690F" w:rsidRPr="0052766A" w:rsidRDefault="00F3690F" w:rsidP="0052766A">
      <w:pPr>
        <w:spacing w:after="0" w:line="360" w:lineRule="auto"/>
        <w:contextualSpacing/>
        <w:jc w:val="both"/>
        <w:rPr>
          <w:rFonts w:ascii="Palatino Linotype" w:hAnsi="Palatino Linotype"/>
        </w:rPr>
      </w:pPr>
    </w:p>
    <w:p w:rsidR="00F3690F" w:rsidRPr="0052766A" w:rsidRDefault="00C8733B" w:rsidP="0052766A">
      <w:pPr>
        <w:spacing w:before="120" w:after="120" w:line="360" w:lineRule="auto"/>
        <w:contextualSpacing/>
        <w:jc w:val="both"/>
        <w:rPr>
          <w:rFonts w:ascii="Palatino Linotype" w:hAnsi="Palatino Linotype" w:cs="Arial"/>
          <w:bCs/>
          <w:lang w:val="es-ES"/>
        </w:rPr>
      </w:pPr>
      <w:r w:rsidRPr="0052766A">
        <w:rPr>
          <w:rFonts w:ascii="Palatino Linotype" w:hAnsi="Palatino Linotype"/>
        </w:rPr>
        <w:t xml:space="preserve">De manera previa, cabe precisar que la materia en que radicó </w:t>
      </w:r>
      <w:r w:rsidR="00AA5B7B" w:rsidRPr="0052766A">
        <w:rPr>
          <w:rFonts w:ascii="Palatino Linotype" w:hAnsi="Palatino Linotype"/>
        </w:rPr>
        <w:t>la Resolución de los</w:t>
      </w:r>
      <w:r w:rsidRPr="0052766A">
        <w:rPr>
          <w:rFonts w:ascii="Palatino Linotype" w:hAnsi="Palatino Linotype"/>
        </w:rPr>
        <w:t xml:space="preserve"> </w:t>
      </w:r>
      <w:r w:rsidR="00F3690F" w:rsidRPr="0052766A">
        <w:rPr>
          <w:rFonts w:ascii="Palatino Linotype" w:hAnsi="Palatino Linotype"/>
        </w:rPr>
        <w:t>R</w:t>
      </w:r>
      <w:r w:rsidRPr="0052766A">
        <w:rPr>
          <w:rFonts w:ascii="Palatino Linotype" w:hAnsi="Palatino Linotype"/>
        </w:rPr>
        <w:t>ecurso</w:t>
      </w:r>
      <w:r w:rsidR="00AA5B7B" w:rsidRPr="0052766A">
        <w:rPr>
          <w:rFonts w:ascii="Palatino Linotype" w:hAnsi="Palatino Linotype"/>
        </w:rPr>
        <w:t>s</w:t>
      </w:r>
      <w:r w:rsidRPr="0052766A">
        <w:rPr>
          <w:rFonts w:ascii="Palatino Linotype" w:hAnsi="Palatino Linotype"/>
        </w:rPr>
        <w:t xml:space="preserve"> de </w:t>
      </w:r>
      <w:r w:rsidR="00F3690F" w:rsidRPr="0052766A">
        <w:rPr>
          <w:rFonts w:ascii="Palatino Linotype" w:hAnsi="Palatino Linotype"/>
        </w:rPr>
        <w:t>R</w:t>
      </w:r>
      <w:r w:rsidRPr="0052766A">
        <w:rPr>
          <w:rFonts w:ascii="Palatino Linotype" w:hAnsi="Palatino Linotype"/>
        </w:rPr>
        <w:t>evisión</w:t>
      </w:r>
      <w:r w:rsidR="00AA5B7B" w:rsidRPr="0052766A">
        <w:rPr>
          <w:rFonts w:ascii="Palatino Linotype" w:hAnsi="Palatino Linotype"/>
        </w:rPr>
        <w:t xml:space="preserve"> que nos ocupa</w:t>
      </w:r>
      <w:r w:rsidRPr="0052766A">
        <w:rPr>
          <w:rFonts w:ascii="Palatino Linotype" w:hAnsi="Palatino Linotype"/>
        </w:rPr>
        <w:t xml:space="preserve">, fue en que </w:t>
      </w:r>
      <w:r w:rsidR="00E406C5" w:rsidRPr="0052766A">
        <w:rPr>
          <w:rFonts w:ascii="Palatino Linotype" w:hAnsi="Palatino Linotype"/>
        </w:rPr>
        <w:t xml:space="preserve">el </w:t>
      </w:r>
      <w:r w:rsidR="00AA5B7B" w:rsidRPr="0052766A">
        <w:rPr>
          <w:rFonts w:ascii="Palatino Linotype" w:hAnsi="Palatino Linotype"/>
        </w:rPr>
        <w:t>P</w:t>
      </w:r>
      <w:r w:rsidR="00E406C5" w:rsidRPr="0052766A">
        <w:rPr>
          <w:rFonts w:ascii="Palatino Linotype" w:hAnsi="Palatino Linotype"/>
        </w:rPr>
        <w:t xml:space="preserve">articular </w:t>
      </w:r>
      <w:r w:rsidR="00AD2094" w:rsidRPr="0052766A">
        <w:rPr>
          <w:rFonts w:ascii="Palatino Linotype" w:hAnsi="Palatino Linotype" w:cs="Arial"/>
          <w:bCs/>
          <w:lang w:val="es-ES"/>
        </w:rPr>
        <w:t>requirió</w:t>
      </w:r>
      <w:r w:rsidR="0082523E" w:rsidRPr="0052766A">
        <w:rPr>
          <w:rFonts w:ascii="Palatino Linotype" w:hAnsi="Palatino Linotype" w:cs="Arial"/>
          <w:bCs/>
          <w:lang w:val="es-ES"/>
        </w:rPr>
        <w:t xml:space="preserve"> al Sujeto Obligado “Universidad Politécnica del Valle de Toluca”, </w:t>
      </w:r>
      <w:r w:rsidR="005C2E6D" w:rsidRPr="0052766A">
        <w:rPr>
          <w:rFonts w:ascii="Palatino Linotype" w:hAnsi="Palatino Linotype" w:cs="Arial"/>
          <w:bCs/>
          <w:lang w:val="es-ES"/>
        </w:rPr>
        <w:t xml:space="preserve">le entregara vía el </w:t>
      </w:r>
      <w:r w:rsidR="00F3690F" w:rsidRPr="0052766A">
        <w:rPr>
          <w:rFonts w:ascii="Palatino Linotype" w:hAnsi="Palatino Linotype" w:cs="Arial"/>
          <w:bCs/>
          <w:lang w:val="es-ES"/>
        </w:rPr>
        <w:t>Sistema de Acceso a la Información Mexiquense (</w:t>
      </w:r>
      <w:r w:rsidR="005C2E6D" w:rsidRPr="0052766A">
        <w:rPr>
          <w:rFonts w:ascii="Palatino Linotype" w:hAnsi="Palatino Linotype" w:cs="Arial"/>
          <w:bCs/>
          <w:lang w:val="es-ES"/>
        </w:rPr>
        <w:t>SAIMEX</w:t>
      </w:r>
      <w:r w:rsidR="00F3690F" w:rsidRPr="0052766A">
        <w:rPr>
          <w:rFonts w:ascii="Palatino Linotype" w:hAnsi="Palatino Linotype" w:cs="Arial"/>
          <w:bCs/>
          <w:lang w:val="es-ES"/>
        </w:rPr>
        <w:t>)</w:t>
      </w:r>
      <w:r w:rsidR="005C2E6D" w:rsidRPr="0052766A">
        <w:rPr>
          <w:rFonts w:ascii="Palatino Linotype" w:hAnsi="Palatino Linotype" w:cs="Arial"/>
          <w:bCs/>
          <w:lang w:val="es-ES"/>
        </w:rPr>
        <w:t>,</w:t>
      </w:r>
      <w:r w:rsidR="00F3690F" w:rsidRPr="0052766A">
        <w:rPr>
          <w:rFonts w:ascii="Palatino Linotype" w:hAnsi="Palatino Linotype" w:cs="Arial"/>
          <w:bCs/>
          <w:lang w:val="es-ES"/>
        </w:rPr>
        <w:t xml:space="preserve"> mediante </w:t>
      </w:r>
      <w:r w:rsidR="00A072DB" w:rsidRPr="0052766A">
        <w:rPr>
          <w:rFonts w:ascii="Palatino Linotype" w:hAnsi="Palatino Linotype" w:cs="Arial"/>
          <w:bCs/>
          <w:lang w:val="es-ES"/>
        </w:rPr>
        <w:t xml:space="preserve">cuatro </w:t>
      </w:r>
      <w:r w:rsidR="00F3690F" w:rsidRPr="0052766A">
        <w:rPr>
          <w:rFonts w:ascii="Palatino Linotype" w:hAnsi="Palatino Linotype" w:cs="Arial"/>
          <w:bCs/>
          <w:lang w:val="es-ES"/>
        </w:rPr>
        <w:t xml:space="preserve">solicitudes de acceso a la información pública, </w:t>
      </w:r>
      <w:r w:rsidR="00A072DB" w:rsidRPr="0052766A">
        <w:rPr>
          <w:rFonts w:ascii="Palatino Linotype" w:hAnsi="Palatino Linotype" w:cs="Arial"/>
          <w:bCs/>
          <w:lang w:val="es-ES"/>
        </w:rPr>
        <w:t>el histórico de registros de asistencia de las personas que ocupan el cargo de secretarías de departamento y/o dirección, auxiliares administrativos de dirección, técnico contable y de jefe de oficina.</w:t>
      </w:r>
    </w:p>
    <w:p w:rsidR="00F3690F" w:rsidRPr="0052766A" w:rsidRDefault="00F3690F" w:rsidP="0052766A">
      <w:pPr>
        <w:spacing w:before="120" w:after="120" w:line="360" w:lineRule="auto"/>
        <w:contextualSpacing/>
        <w:jc w:val="both"/>
        <w:rPr>
          <w:rFonts w:ascii="Palatino Linotype" w:hAnsi="Palatino Linotype" w:cs="Arial"/>
          <w:bCs/>
          <w:lang w:val="es-ES"/>
        </w:rPr>
      </w:pPr>
    </w:p>
    <w:p w:rsidR="002A46BE" w:rsidRPr="0052766A" w:rsidRDefault="005C2E6D" w:rsidP="0052766A">
      <w:pPr>
        <w:spacing w:before="120" w:after="120" w:line="360" w:lineRule="auto"/>
        <w:contextualSpacing/>
        <w:jc w:val="both"/>
        <w:rPr>
          <w:rFonts w:ascii="Palatino Linotype" w:hAnsi="Palatino Linotype" w:cs="Arial"/>
          <w:lang w:val="es-ES"/>
        </w:rPr>
      </w:pPr>
      <w:r w:rsidRPr="0052766A">
        <w:rPr>
          <w:rFonts w:ascii="Palatino Linotype" w:hAnsi="Palatino Linotype" w:cs="Arial"/>
          <w:lang w:val="es-ES"/>
        </w:rPr>
        <w:t>E</w:t>
      </w:r>
      <w:r w:rsidR="00FA32E0" w:rsidRPr="0052766A">
        <w:rPr>
          <w:rFonts w:ascii="Palatino Linotype" w:hAnsi="Palatino Linotype" w:cs="Arial"/>
          <w:lang w:val="es-ES"/>
        </w:rPr>
        <w:t xml:space="preserve">l Sujeto Obligado </w:t>
      </w:r>
      <w:r w:rsidRPr="0052766A">
        <w:rPr>
          <w:rFonts w:ascii="Palatino Linotype" w:hAnsi="Palatino Linotype" w:cs="Arial"/>
          <w:lang w:val="es-ES"/>
        </w:rPr>
        <w:t>respondió</w:t>
      </w:r>
      <w:r w:rsidR="00E95E01" w:rsidRPr="0052766A">
        <w:rPr>
          <w:rFonts w:ascii="Palatino Linotype" w:hAnsi="Palatino Linotype" w:cs="Arial"/>
          <w:lang w:val="es-ES"/>
        </w:rPr>
        <w:t xml:space="preserve"> de manera análoga a </w:t>
      </w:r>
      <w:r w:rsidR="000A496D" w:rsidRPr="0052766A">
        <w:rPr>
          <w:rFonts w:ascii="Palatino Linotype" w:hAnsi="Palatino Linotype" w:cs="Arial"/>
          <w:lang w:val="es-ES"/>
        </w:rPr>
        <w:t>cada una de</w:t>
      </w:r>
      <w:r w:rsidR="00E95E01" w:rsidRPr="0052766A">
        <w:rPr>
          <w:rFonts w:ascii="Palatino Linotype" w:hAnsi="Palatino Linotype" w:cs="Arial"/>
          <w:lang w:val="es-ES"/>
        </w:rPr>
        <w:t xml:space="preserve"> las solicitudes de </w:t>
      </w:r>
      <w:r w:rsidR="000A496D" w:rsidRPr="0052766A">
        <w:rPr>
          <w:rFonts w:ascii="Palatino Linotype" w:hAnsi="Palatino Linotype" w:cs="Arial"/>
          <w:lang w:val="es-ES"/>
        </w:rPr>
        <w:t xml:space="preserve">acceso a la </w:t>
      </w:r>
      <w:r w:rsidR="00E95E01" w:rsidRPr="0052766A">
        <w:rPr>
          <w:rFonts w:ascii="Palatino Linotype" w:hAnsi="Palatino Linotype" w:cs="Arial"/>
          <w:lang w:val="es-ES"/>
        </w:rPr>
        <w:t>información</w:t>
      </w:r>
      <w:r w:rsidR="001F7B38">
        <w:rPr>
          <w:rFonts w:ascii="Palatino Linotype" w:hAnsi="Palatino Linotype" w:cs="Arial"/>
          <w:lang w:val="es-ES"/>
        </w:rPr>
        <w:t>,</w:t>
      </w:r>
      <w:r w:rsidR="00E95E01" w:rsidRPr="0052766A">
        <w:rPr>
          <w:rFonts w:ascii="Palatino Linotype" w:hAnsi="Palatino Linotype" w:cs="Arial"/>
          <w:lang w:val="es-ES"/>
        </w:rPr>
        <w:t xml:space="preserve"> vía el </w:t>
      </w:r>
      <w:r w:rsidR="000A496D" w:rsidRPr="0052766A">
        <w:rPr>
          <w:rFonts w:ascii="Palatino Linotype" w:hAnsi="Palatino Linotype" w:cs="Arial"/>
          <w:lang w:val="es-ES"/>
        </w:rPr>
        <w:t>Sistema de Acceso a la Información Mexiquense (</w:t>
      </w:r>
      <w:r w:rsidR="00E95E01" w:rsidRPr="0052766A">
        <w:rPr>
          <w:rFonts w:ascii="Palatino Linotype" w:hAnsi="Palatino Linotype" w:cs="Arial"/>
          <w:lang w:val="es-ES"/>
        </w:rPr>
        <w:t>SAIMEX</w:t>
      </w:r>
      <w:r w:rsidR="000A496D" w:rsidRPr="0052766A">
        <w:rPr>
          <w:rFonts w:ascii="Palatino Linotype" w:hAnsi="Palatino Linotype" w:cs="Arial"/>
          <w:lang w:val="es-ES"/>
        </w:rPr>
        <w:t>)</w:t>
      </w:r>
      <w:r w:rsidR="00E95E01" w:rsidRPr="0052766A">
        <w:rPr>
          <w:rFonts w:ascii="Palatino Linotype" w:hAnsi="Palatino Linotype" w:cs="Arial"/>
          <w:lang w:val="es-ES"/>
        </w:rPr>
        <w:t xml:space="preserve">, </w:t>
      </w:r>
      <w:r w:rsidR="00AA5B7B" w:rsidRPr="0052766A">
        <w:rPr>
          <w:rFonts w:ascii="Palatino Linotype" w:hAnsi="Palatino Linotype" w:cs="Arial"/>
          <w:lang w:val="es-ES"/>
        </w:rPr>
        <w:t>en el que refirió</w:t>
      </w:r>
      <w:r w:rsidR="00E95E01" w:rsidRPr="0052766A">
        <w:rPr>
          <w:rFonts w:ascii="Palatino Linotype" w:hAnsi="Palatino Linotype" w:cs="Arial"/>
          <w:lang w:val="es-ES"/>
        </w:rPr>
        <w:t xml:space="preserve"> </w:t>
      </w:r>
      <w:r w:rsidR="00E95E01" w:rsidRPr="0052766A">
        <w:rPr>
          <w:rFonts w:ascii="Palatino Linotype" w:hAnsi="Palatino Linotype" w:cs="Arial"/>
          <w:lang w:val="es-ES"/>
        </w:rPr>
        <w:lastRenderedPageBreak/>
        <w:t xml:space="preserve">sustancialmente que </w:t>
      </w:r>
      <w:r w:rsidR="00E1738F" w:rsidRPr="0052766A">
        <w:rPr>
          <w:rFonts w:ascii="Palatino Linotype" w:hAnsi="Palatino Linotype" w:cs="Arial"/>
          <w:lang w:val="es-ES"/>
        </w:rPr>
        <w:t xml:space="preserve">la información con la que cuenta </w:t>
      </w:r>
      <w:r w:rsidR="00A072DB" w:rsidRPr="0052766A">
        <w:rPr>
          <w:rFonts w:ascii="Palatino Linotype" w:hAnsi="Palatino Linotype"/>
          <w:color w:val="000000"/>
        </w:rPr>
        <w:t xml:space="preserve">no se encuentran digitalizadas ya que no está dentro de sus obligaciones del Sujeto Obligado, </w:t>
      </w:r>
      <w:r w:rsidR="00E95E01" w:rsidRPr="0052766A">
        <w:rPr>
          <w:rFonts w:ascii="Palatino Linotype" w:hAnsi="Palatino Linotype" w:cs="Arial"/>
          <w:lang w:val="es-ES"/>
        </w:rPr>
        <w:t xml:space="preserve">por lo que la información solicitada será proporcionada siempre y cuando el solicitante cubra el pago por concepto de </w:t>
      </w:r>
      <w:r w:rsidR="00E95E01" w:rsidRPr="0052766A">
        <w:rPr>
          <w:rFonts w:ascii="Palatino Linotype" w:hAnsi="Palatino Linotype" w:cs="Arial"/>
          <w:b/>
          <w:lang w:val="es-ES"/>
        </w:rPr>
        <w:t>escaneo y digitalización</w:t>
      </w:r>
      <w:r w:rsidR="00E95E01" w:rsidRPr="0052766A">
        <w:rPr>
          <w:rFonts w:ascii="Palatino Linotype" w:hAnsi="Palatino Linotype" w:cs="Arial"/>
          <w:lang w:val="es-ES"/>
        </w:rPr>
        <w:t xml:space="preserve">, </w:t>
      </w:r>
      <w:r w:rsidR="002A46BE" w:rsidRPr="0052766A">
        <w:rPr>
          <w:rFonts w:ascii="Palatino Linotype" w:hAnsi="Palatino Linotype" w:cs="Arial"/>
          <w:lang w:val="es-ES"/>
        </w:rPr>
        <w:t xml:space="preserve">ello </w:t>
      </w:r>
      <w:r w:rsidR="00E95E01" w:rsidRPr="0052766A">
        <w:rPr>
          <w:rFonts w:ascii="Palatino Linotype" w:hAnsi="Palatino Linotype" w:cs="Arial"/>
          <w:lang w:val="es-ES"/>
        </w:rPr>
        <w:t>con fundamento en el Código F</w:t>
      </w:r>
      <w:r w:rsidR="002A46BE" w:rsidRPr="0052766A">
        <w:rPr>
          <w:rFonts w:ascii="Palatino Linotype" w:hAnsi="Palatino Linotype" w:cs="Arial"/>
          <w:lang w:val="es-ES"/>
        </w:rPr>
        <w:t>inanciero del Estado de México</w:t>
      </w:r>
      <w:r w:rsidR="003A795B" w:rsidRPr="0052766A">
        <w:rPr>
          <w:rFonts w:ascii="Palatino Linotype" w:hAnsi="Palatino Linotype" w:cs="Arial"/>
          <w:lang w:val="es-ES"/>
        </w:rPr>
        <w:t xml:space="preserve"> y Municipios </w:t>
      </w:r>
      <w:r w:rsidR="00733946" w:rsidRPr="0052766A">
        <w:rPr>
          <w:rFonts w:ascii="Palatino Linotype" w:hAnsi="Palatino Linotype" w:cs="Arial"/>
          <w:lang w:val="es-ES"/>
        </w:rPr>
        <w:t>e indicó</w:t>
      </w:r>
      <w:r w:rsidR="002A46BE" w:rsidRPr="0052766A">
        <w:rPr>
          <w:rFonts w:ascii="Palatino Linotype" w:hAnsi="Palatino Linotype" w:cs="Arial"/>
          <w:lang w:val="es-ES"/>
        </w:rPr>
        <w:t xml:space="preserve"> el procedimiento a seguir </w:t>
      </w:r>
      <w:r w:rsidR="00E95E01" w:rsidRPr="0052766A">
        <w:rPr>
          <w:rFonts w:ascii="Palatino Linotype" w:hAnsi="Palatino Linotype" w:cs="Arial"/>
          <w:lang w:val="es-ES"/>
        </w:rPr>
        <w:t>para realizar el pago correspondiente</w:t>
      </w:r>
      <w:r w:rsidR="002A46BE" w:rsidRPr="0052766A">
        <w:rPr>
          <w:rFonts w:ascii="Palatino Linotype" w:hAnsi="Palatino Linotype" w:cs="Arial"/>
          <w:lang w:val="es-ES"/>
        </w:rPr>
        <w:t xml:space="preserve">. </w:t>
      </w:r>
    </w:p>
    <w:p w:rsidR="000A496D" w:rsidRPr="0052766A" w:rsidRDefault="000A496D" w:rsidP="0052766A">
      <w:pPr>
        <w:spacing w:before="120" w:after="120" w:line="360" w:lineRule="auto"/>
        <w:contextualSpacing/>
        <w:jc w:val="both"/>
        <w:rPr>
          <w:rFonts w:ascii="Palatino Linotype" w:hAnsi="Palatino Linotype" w:cs="Arial"/>
          <w:color w:val="000000" w:themeColor="text1"/>
        </w:rPr>
      </w:pPr>
    </w:p>
    <w:p w:rsidR="002B211C" w:rsidRPr="0052766A" w:rsidRDefault="0014193E" w:rsidP="0052766A">
      <w:pPr>
        <w:spacing w:before="120" w:after="120" w:line="360" w:lineRule="auto"/>
        <w:contextualSpacing/>
        <w:jc w:val="both"/>
        <w:rPr>
          <w:rFonts w:ascii="Palatino Linotype" w:hAnsi="Palatino Linotype" w:cs="Arial"/>
          <w:i/>
        </w:rPr>
      </w:pPr>
      <w:r w:rsidRPr="0052766A">
        <w:rPr>
          <w:rFonts w:ascii="Palatino Linotype" w:hAnsi="Palatino Linotype" w:cs="Arial"/>
          <w:color w:val="000000" w:themeColor="text1"/>
        </w:rPr>
        <w:t xml:space="preserve">Ante la </w:t>
      </w:r>
      <w:r w:rsidR="003A11C1" w:rsidRPr="0052766A">
        <w:rPr>
          <w:rFonts w:ascii="Palatino Linotype" w:hAnsi="Palatino Linotype" w:cs="Arial"/>
          <w:color w:val="000000" w:themeColor="text1"/>
        </w:rPr>
        <w:t>r</w:t>
      </w:r>
      <w:r w:rsidRPr="0052766A">
        <w:rPr>
          <w:rFonts w:ascii="Palatino Linotype" w:hAnsi="Palatino Linotype" w:cs="Arial"/>
          <w:color w:val="000000" w:themeColor="text1"/>
        </w:rPr>
        <w:t xml:space="preserve">espuesta,  el </w:t>
      </w:r>
      <w:r w:rsidR="000A496D" w:rsidRPr="0052766A">
        <w:rPr>
          <w:rFonts w:ascii="Palatino Linotype" w:hAnsi="Palatino Linotype" w:cs="Arial"/>
          <w:color w:val="000000" w:themeColor="text1"/>
        </w:rPr>
        <w:t>ahora</w:t>
      </w:r>
      <w:r w:rsidRPr="0052766A">
        <w:rPr>
          <w:rFonts w:ascii="Palatino Linotype" w:hAnsi="Palatino Linotype" w:cs="Arial"/>
          <w:color w:val="000000" w:themeColor="text1"/>
        </w:rPr>
        <w:t xml:space="preserve"> Recurrente interpuso los respectivos </w:t>
      </w:r>
      <w:r w:rsidR="000A496D" w:rsidRPr="0052766A">
        <w:rPr>
          <w:rFonts w:ascii="Palatino Linotype" w:hAnsi="Palatino Linotype" w:cs="Arial"/>
          <w:color w:val="000000" w:themeColor="text1"/>
        </w:rPr>
        <w:t>R</w:t>
      </w:r>
      <w:r w:rsidRPr="0052766A">
        <w:rPr>
          <w:rFonts w:ascii="Palatino Linotype" w:hAnsi="Palatino Linotype" w:cs="Arial"/>
          <w:color w:val="000000" w:themeColor="text1"/>
        </w:rPr>
        <w:t xml:space="preserve">ecursos de </w:t>
      </w:r>
      <w:r w:rsidR="000A496D" w:rsidRPr="0052766A">
        <w:rPr>
          <w:rFonts w:ascii="Palatino Linotype" w:hAnsi="Palatino Linotype" w:cs="Arial"/>
          <w:color w:val="000000" w:themeColor="text1"/>
        </w:rPr>
        <w:t>R</w:t>
      </w:r>
      <w:r w:rsidRPr="0052766A">
        <w:rPr>
          <w:rFonts w:ascii="Palatino Linotype" w:hAnsi="Palatino Linotype" w:cs="Arial"/>
          <w:color w:val="000000" w:themeColor="text1"/>
        </w:rPr>
        <w:t xml:space="preserve">evisión, </w:t>
      </w:r>
      <w:r w:rsidR="000A496D" w:rsidRPr="0052766A">
        <w:rPr>
          <w:rFonts w:ascii="Palatino Linotype" w:hAnsi="Palatino Linotype" w:cs="Arial"/>
          <w:color w:val="000000" w:themeColor="text1"/>
        </w:rPr>
        <w:t xml:space="preserve">en los que </w:t>
      </w:r>
      <w:r w:rsidRPr="0052766A">
        <w:rPr>
          <w:rFonts w:ascii="Palatino Linotype" w:hAnsi="Palatino Linotype" w:cs="Arial"/>
          <w:color w:val="000000" w:themeColor="text1"/>
        </w:rPr>
        <w:t>exp</w:t>
      </w:r>
      <w:r w:rsidR="000A496D" w:rsidRPr="0052766A">
        <w:rPr>
          <w:rFonts w:ascii="Palatino Linotype" w:hAnsi="Palatino Linotype" w:cs="Arial"/>
          <w:color w:val="000000" w:themeColor="text1"/>
        </w:rPr>
        <w:t>uso</w:t>
      </w:r>
      <w:r w:rsidRPr="0052766A">
        <w:rPr>
          <w:rFonts w:ascii="Palatino Linotype" w:hAnsi="Palatino Linotype" w:cs="Arial"/>
          <w:color w:val="000000" w:themeColor="text1"/>
        </w:rPr>
        <w:t xml:space="preserve"> </w:t>
      </w:r>
      <w:r w:rsidR="00FB130A" w:rsidRPr="0052766A">
        <w:rPr>
          <w:rFonts w:ascii="Palatino Linotype" w:hAnsi="Palatino Linotype" w:cs="Arial"/>
          <w:color w:val="000000" w:themeColor="text1"/>
        </w:rPr>
        <w:t xml:space="preserve">sustancialmente </w:t>
      </w:r>
      <w:r w:rsidRPr="0052766A">
        <w:rPr>
          <w:rFonts w:ascii="Palatino Linotype" w:hAnsi="Palatino Linotype" w:cs="Arial"/>
          <w:color w:val="000000" w:themeColor="text1"/>
        </w:rPr>
        <w:t xml:space="preserve">como </w:t>
      </w:r>
      <w:r w:rsidRPr="0052766A">
        <w:rPr>
          <w:rFonts w:ascii="Palatino Linotype" w:hAnsi="Palatino Linotype" w:cs="Arial"/>
          <w:b/>
          <w:color w:val="000000" w:themeColor="text1"/>
        </w:rPr>
        <w:t>actos impugnados</w:t>
      </w:r>
      <w:r w:rsidRPr="0052766A">
        <w:rPr>
          <w:rFonts w:ascii="Palatino Linotype" w:hAnsi="Palatino Linotype" w:cs="Arial"/>
          <w:color w:val="000000" w:themeColor="text1"/>
        </w:rPr>
        <w:t xml:space="preserve"> que </w:t>
      </w:r>
      <w:r w:rsidR="00E1738F" w:rsidRPr="0052766A">
        <w:rPr>
          <w:rFonts w:ascii="Palatino Linotype" w:hAnsi="Palatino Linotype" w:cs="Arial"/>
          <w:color w:val="000000" w:themeColor="text1"/>
        </w:rPr>
        <w:t xml:space="preserve">no dan respuesta </w:t>
      </w:r>
      <w:r w:rsidR="002B211C" w:rsidRPr="0052766A">
        <w:rPr>
          <w:rFonts w:ascii="Palatino Linotype" w:hAnsi="Palatino Linotype" w:cs="Arial"/>
        </w:rPr>
        <w:t xml:space="preserve">o </w:t>
      </w:r>
      <w:r w:rsidR="00E1738F" w:rsidRPr="0052766A">
        <w:rPr>
          <w:rFonts w:ascii="Palatino Linotype" w:hAnsi="Palatino Linotype" w:cs="Arial"/>
        </w:rPr>
        <w:t xml:space="preserve">no es lo solicitado </w:t>
      </w:r>
      <w:r w:rsidRPr="0052766A">
        <w:rPr>
          <w:rFonts w:ascii="Palatino Linotype" w:hAnsi="Palatino Linotype" w:cs="Arial"/>
        </w:rPr>
        <w:t xml:space="preserve">y como </w:t>
      </w:r>
      <w:r w:rsidRPr="0052766A">
        <w:rPr>
          <w:rFonts w:ascii="Palatino Linotype" w:hAnsi="Palatino Linotype" w:cs="Arial"/>
          <w:b/>
        </w:rPr>
        <w:t>motivos de inconformidad</w:t>
      </w:r>
      <w:r w:rsidRPr="0052766A">
        <w:rPr>
          <w:rFonts w:ascii="Palatino Linotype" w:hAnsi="Palatino Linotype" w:cs="Arial"/>
        </w:rPr>
        <w:t xml:space="preserve"> que </w:t>
      </w:r>
      <w:r w:rsidR="00E1738F" w:rsidRPr="0052766A">
        <w:rPr>
          <w:rFonts w:ascii="Palatino Linotype" w:hAnsi="Palatino Linotype" w:cs="Arial"/>
          <w:i/>
        </w:rPr>
        <w:t>No refieren las fojas de la solicitud, solo engloban 4 solicitudes queriendo imponer un pago, sin dar la información</w:t>
      </w:r>
      <w:r w:rsidR="002B211C" w:rsidRPr="0052766A">
        <w:rPr>
          <w:rFonts w:ascii="Palatino Linotype" w:hAnsi="Palatino Linotype" w:cs="Arial"/>
          <w:i/>
        </w:rPr>
        <w:t>.</w:t>
      </w:r>
    </w:p>
    <w:p w:rsidR="00597077" w:rsidRPr="0052766A" w:rsidRDefault="00597077" w:rsidP="0052766A">
      <w:pPr>
        <w:spacing w:before="120" w:after="120" w:line="360" w:lineRule="auto"/>
        <w:contextualSpacing/>
        <w:jc w:val="both"/>
        <w:rPr>
          <w:rFonts w:ascii="Palatino Linotype" w:hAnsi="Palatino Linotype" w:cs="Arial"/>
        </w:rPr>
      </w:pPr>
    </w:p>
    <w:p w:rsidR="0052766A" w:rsidRPr="0052766A" w:rsidRDefault="00420C88" w:rsidP="0052766A">
      <w:pPr>
        <w:spacing w:before="120" w:after="120" w:line="360" w:lineRule="auto"/>
        <w:contextualSpacing/>
        <w:jc w:val="both"/>
        <w:rPr>
          <w:rFonts w:ascii="Palatino Linotype" w:hAnsi="Palatino Linotype" w:cs="Arial"/>
        </w:rPr>
      </w:pPr>
      <w:r w:rsidRPr="0052766A">
        <w:rPr>
          <w:rFonts w:ascii="Palatino Linotype" w:hAnsi="Palatino Linotype" w:cs="Arial"/>
        </w:rPr>
        <w:t xml:space="preserve">Ante </w:t>
      </w:r>
      <w:r w:rsidR="00597077" w:rsidRPr="0052766A">
        <w:rPr>
          <w:rFonts w:ascii="Palatino Linotype" w:hAnsi="Palatino Linotype" w:cs="Arial"/>
        </w:rPr>
        <w:t xml:space="preserve">la presentación de </w:t>
      </w:r>
      <w:r w:rsidRPr="0052766A">
        <w:rPr>
          <w:rFonts w:ascii="Palatino Linotype" w:hAnsi="Palatino Linotype" w:cs="Arial"/>
        </w:rPr>
        <w:t>los medios de impugnación, el Sujeto Obligado rindió sus respectivos informes justificados,</w:t>
      </w:r>
      <w:r w:rsidR="00D40D53" w:rsidRPr="0052766A">
        <w:rPr>
          <w:rFonts w:ascii="Palatino Linotype" w:hAnsi="Palatino Linotype" w:cs="Arial"/>
        </w:rPr>
        <w:t xml:space="preserve"> a través </w:t>
      </w:r>
      <w:r w:rsidR="009974A8" w:rsidRPr="0052766A">
        <w:rPr>
          <w:rFonts w:ascii="Palatino Linotype" w:hAnsi="Palatino Linotype" w:cs="Arial"/>
        </w:rPr>
        <w:t xml:space="preserve">de </w:t>
      </w:r>
      <w:r w:rsidR="00D40D53" w:rsidRPr="0052766A">
        <w:rPr>
          <w:rFonts w:ascii="Palatino Linotype" w:hAnsi="Palatino Linotype" w:cs="Arial"/>
        </w:rPr>
        <w:t>los</w:t>
      </w:r>
      <w:r w:rsidR="009974A8" w:rsidRPr="0052766A">
        <w:rPr>
          <w:rFonts w:ascii="Palatino Linotype" w:hAnsi="Palatino Linotype" w:cs="Arial"/>
        </w:rPr>
        <w:t xml:space="preserve"> c</w:t>
      </w:r>
      <w:r w:rsidR="00D40D53" w:rsidRPr="0052766A">
        <w:rPr>
          <w:rFonts w:ascii="Palatino Linotype" w:hAnsi="Palatino Linotype" w:cs="Arial"/>
        </w:rPr>
        <w:t>uales ratificó sus respuestas</w:t>
      </w:r>
      <w:r w:rsidR="007942DE" w:rsidRPr="0052766A">
        <w:rPr>
          <w:rFonts w:ascii="Palatino Linotype" w:hAnsi="Palatino Linotype" w:cs="Arial"/>
        </w:rPr>
        <w:t xml:space="preserve"> y derivado del exhaustivo análisis que realizó la Ponencia Resolutora determinó</w:t>
      </w:r>
      <w:r w:rsidR="00AE64AC" w:rsidRPr="0052766A">
        <w:rPr>
          <w:rFonts w:ascii="Palatino Linotype" w:hAnsi="Palatino Linotype" w:cs="Arial"/>
        </w:rPr>
        <w:t xml:space="preserve"> </w:t>
      </w:r>
      <w:r w:rsidR="007942DE" w:rsidRPr="0052766A">
        <w:rPr>
          <w:rFonts w:ascii="Palatino Linotype" w:hAnsi="Palatino Linotype" w:cs="Arial"/>
        </w:rPr>
        <w:t>valida</w:t>
      </w:r>
      <w:r w:rsidR="0052766A" w:rsidRPr="0052766A">
        <w:rPr>
          <w:rFonts w:ascii="Palatino Linotype" w:hAnsi="Palatino Linotype" w:cs="Arial"/>
        </w:rPr>
        <w:t>r</w:t>
      </w:r>
      <w:r w:rsidR="007942DE" w:rsidRPr="0052766A">
        <w:rPr>
          <w:rFonts w:ascii="Palatino Linotype" w:hAnsi="Palatino Linotype" w:cs="Arial"/>
        </w:rPr>
        <w:t xml:space="preserve"> </w:t>
      </w:r>
      <w:r w:rsidR="00485ADE" w:rsidRPr="0052766A">
        <w:rPr>
          <w:rFonts w:ascii="Palatino Linotype" w:hAnsi="Palatino Linotype" w:cs="Arial"/>
        </w:rPr>
        <w:t>el cobro por la reproducción o escaneo de la información a entregar</w:t>
      </w:r>
      <w:r w:rsidR="007942DE" w:rsidRPr="0052766A">
        <w:rPr>
          <w:rFonts w:ascii="Palatino Linotype" w:hAnsi="Palatino Linotype" w:cs="Arial"/>
        </w:rPr>
        <w:t xml:space="preserve"> en ejercicio del derecho de acceso a la información.</w:t>
      </w:r>
    </w:p>
    <w:p w:rsidR="0052766A" w:rsidRPr="0052766A" w:rsidRDefault="0052766A" w:rsidP="0052766A">
      <w:pPr>
        <w:spacing w:before="120" w:after="120" w:line="360" w:lineRule="auto"/>
        <w:contextualSpacing/>
        <w:jc w:val="both"/>
        <w:rPr>
          <w:rFonts w:ascii="Palatino Linotype" w:hAnsi="Palatino Linotype" w:cs="Arial"/>
        </w:rPr>
      </w:pPr>
    </w:p>
    <w:p w:rsidR="0052766A" w:rsidRPr="0052766A" w:rsidRDefault="00485ADE" w:rsidP="0052766A">
      <w:pPr>
        <w:spacing w:before="120" w:after="120" w:line="360" w:lineRule="auto"/>
        <w:contextualSpacing/>
        <w:jc w:val="both"/>
        <w:rPr>
          <w:rFonts w:ascii="Palatino Linotype" w:hAnsi="Palatino Linotype" w:cs="Arial"/>
        </w:rPr>
      </w:pPr>
      <w:r w:rsidRPr="0052766A">
        <w:rPr>
          <w:rFonts w:ascii="Palatino Linotype" w:hAnsi="Palatino Linotype" w:cs="Arial"/>
        </w:rPr>
        <w:t>En ese sentido, es preciso referir que la fracción II</w:t>
      </w:r>
      <w:r w:rsidR="00CD457B" w:rsidRPr="0052766A">
        <w:rPr>
          <w:rFonts w:ascii="Palatino Linotype" w:hAnsi="Palatino Linotype" w:cs="Arial"/>
        </w:rPr>
        <w:t>,</w:t>
      </w:r>
      <w:r w:rsidRPr="0052766A">
        <w:rPr>
          <w:rFonts w:ascii="Palatino Linotype" w:hAnsi="Palatino Linotype" w:cs="Arial"/>
        </w:rPr>
        <w:t xml:space="preserve"> del artículo 2</w:t>
      </w:r>
      <w:r w:rsidR="00CD457B" w:rsidRPr="0052766A">
        <w:rPr>
          <w:rFonts w:ascii="Palatino Linotype" w:hAnsi="Palatino Linotype" w:cs="Arial"/>
        </w:rPr>
        <w:t>°</w:t>
      </w:r>
      <w:r w:rsidRPr="0052766A">
        <w:rPr>
          <w:rFonts w:ascii="Palatino Linotype" w:hAnsi="Palatino Linotype" w:cs="Arial"/>
        </w:rPr>
        <w:t xml:space="preserve"> de la Ley de Transparencia </w:t>
      </w:r>
      <w:r w:rsidR="00CD457B" w:rsidRPr="0052766A">
        <w:rPr>
          <w:rFonts w:ascii="Palatino Linotype" w:hAnsi="Palatino Linotype" w:cs="Arial"/>
        </w:rPr>
        <w:t>y Acceso a la Información Pública del Estado de México y Municipios</w:t>
      </w:r>
      <w:r w:rsidRPr="0052766A">
        <w:rPr>
          <w:rFonts w:ascii="Palatino Linotype" w:hAnsi="Palatino Linotype" w:cs="Arial"/>
        </w:rPr>
        <w:t xml:space="preserve">, prevé </w:t>
      </w:r>
      <w:r w:rsidR="00D35B0C" w:rsidRPr="0052766A">
        <w:rPr>
          <w:rFonts w:ascii="Palatino Linotype" w:hAnsi="Palatino Linotype" w:cs="Arial"/>
        </w:rPr>
        <w:t xml:space="preserve">como uno de sus </w:t>
      </w:r>
      <w:r w:rsidRPr="0052766A">
        <w:rPr>
          <w:rFonts w:ascii="Palatino Linotype" w:hAnsi="Palatino Linotype" w:cs="Arial"/>
        </w:rPr>
        <w:t xml:space="preserve">objetivos proveer lo necesario para garantizar a toda persona el derecho de acceso a la información pública a través de procedimientos sencillos, expeditos, oportunos y </w:t>
      </w:r>
      <w:r w:rsidRPr="0052766A">
        <w:rPr>
          <w:rFonts w:ascii="Palatino Linotype" w:hAnsi="Palatino Linotype" w:cs="Arial"/>
          <w:b/>
        </w:rPr>
        <w:t>gratuitos</w:t>
      </w:r>
      <w:r w:rsidRPr="0052766A">
        <w:rPr>
          <w:rFonts w:ascii="Palatino Linotype" w:hAnsi="Palatino Linotype" w:cs="Arial"/>
        </w:rPr>
        <w:t>.</w:t>
      </w:r>
    </w:p>
    <w:p w:rsidR="0052766A" w:rsidRPr="0052766A" w:rsidRDefault="0052766A" w:rsidP="0052766A">
      <w:pPr>
        <w:spacing w:before="240" w:after="240" w:line="360" w:lineRule="auto"/>
        <w:contextualSpacing/>
        <w:jc w:val="both"/>
        <w:rPr>
          <w:rFonts w:ascii="Palatino Linotype" w:hAnsi="Palatino Linotype" w:cs="Arial"/>
          <w:b/>
        </w:rPr>
      </w:pPr>
    </w:p>
    <w:p w:rsidR="00485ADE" w:rsidRPr="0052766A" w:rsidRDefault="00485ADE" w:rsidP="0052766A">
      <w:pPr>
        <w:spacing w:before="240" w:after="240" w:line="360" w:lineRule="auto"/>
        <w:contextualSpacing/>
        <w:jc w:val="both"/>
        <w:rPr>
          <w:rFonts w:ascii="Palatino Linotype" w:hAnsi="Palatino Linotype" w:cs="Arial"/>
        </w:rPr>
      </w:pPr>
      <w:r w:rsidRPr="0052766A">
        <w:rPr>
          <w:rFonts w:ascii="Palatino Linotype" w:hAnsi="Palatino Linotype" w:cs="Arial"/>
        </w:rPr>
        <w:t>Asimismo, los diversos 17 y 150</w:t>
      </w:r>
      <w:r w:rsidR="00342485" w:rsidRPr="0052766A">
        <w:rPr>
          <w:rFonts w:ascii="Palatino Linotype" w:hAnsi="Palatino Linotype" w:cs="Arial"/>
        </w:rPr>
        <w:t xml:space="preserve"> de la Ley de Transpa</w:t>
      </w:r>
      <w:r w:rsidR="009F1218" w:rsidRPr="0052766A">
        <w:rPr>
          <w:rFonts w:ascii="Palatino Linotype" w:hAnsi="Palatino Linotype" w:cs="Arial"/>
        </w:rPr>
        <w:t>r</w:t>
      </w:r>
      <w:r w:rsidR="00342485" w:rsidRPr="0052766A">
        <w:rPr>
          <w:rFonts w:ascii="Palatino Linotype" w:hAnsi="Palatino Linotype" w:cs="Arial"/>
        </w:rPr>
        <w:t>e</w:t>
      </w:r>
      <w:r w:rsidR="009F1218" w:rsidRPr="0052766A">
        <w:rPr>
          <w:rFonts w:ascii="Palatino Linotype" w:hAnsi="Palatino Linotype" w:cs="Arial"/>
        </w:rPr>
        <w:t>ncia referida</w:t>
      </w:r>
      <w:r w:rsidRPr="0052766A">
        <w:rPr>
          <w:rFonts w:ascii="Palatino Linotype" w:hAnsi="Palatino Linotype" w:cs="Arial"/>
        </w:rPr>
        <w:t xml:space="preserve">, </w:t>
      </w:r>
      <w:r w:rsidR="009F1218" w:rsidRPr="0052766A">
        <w:rPr>
          <w:rFonts w:ascii="Palatino Linotype" w:hAnsi="Palatino Linotype" w:cs="Arial"/>
        </w:rPr>
        <w:t xml:space="preserve">establecen </w:t>
      </w:r>
      <w:r w:rsidRPr="0052766A">
        <w:rPr>
          <w:rFonts w:ascii="Palatino Linotype" w:hAnsi="Palatino Linotype" w:cs="Arial"/>
        </w:rPr>
        <w:t>que la búsqueda y acceso a la información es gratuita y sólo se cubrirá</w:t>
      </w:r>
      <w:r w:rsidR="009F1218" w:rsidRPr="0052766A">
        <w:rPr>
          <w:rFonts w:ascii="Palatino Linotype" w:hAnsi="Palatino Linotype" w:cs="Arial"/>
        </w:rPr>
        <w:t>n</w:t>
      </w:r>
      <w:r w:rsidRPr="0052766A">
        <w:rPr>
          <w:rFonts w:ascii="Palatino Linotype" w:hAnsi="Palatino Linotype" w:cs="Arial"/>
        </w:rPr>
        <w:t xml:space="preserve"> en su caso, los gastos de reproducción por la modalidad de entrega solicitada</w:t>
      </w:r>
      <w:r w:rsidR="00342485" w:rsidRPr="0052766A">
        <w:rPr>
          <w:rFonts w:ascii="Palatino Linotype" w:hAnsi="Palatino Linotype" w:cs="Arial"/>
        </w:rPr>
        <w:t xml:space="preserve"> o por el envío, </w:t>
      </w:r>
      <w:r w:rsidRPr="0052766A">
        <w:rPr>
          <w:rFonts w:ascii="Palatino Linotype" w:hAnsi="Palatino Linotype" w:cs="Arial"/>
        </w:rPr>
        <w:t xml:space="preserve">de conformidad con los </w:t>
      </w:r>
      <w:r w:rsidRPr="0052766A">
        <w:rPr>
          <w:rFonts w:ascii="Palatino Linotype" w:hAnsi="Palatino Linotype" w:cs="Arial"/>
        </w:rPr>
        <w:lastRenderedPageBreak/>
        <w:t xml:space="preserve">derechos, productos y aprovechamientos establecidos en la legislación aplicable, toda vez que el procedimiento de acceso a la información es la garantía primaria del derecho en cuestión y </w:t>
      </w:r>
      <w:r w:rsidRPr="0052766A">
        <w:rPr>
          <w:rFonts w:ascii="Palatino Linotype" w:hAnsi="Palatino Linotype" w:cs="Arial"/>
          <w:u w:val="single"/>
        </w:rPr>
        <w:t>se rige por los principios de simplicidad, rapidez, gratuidad, auxilio y orientación a los particulares</w:t>
      </w:r>
      <w:r w:rsidRPr="0052766A">
        <w:rPr>
          <w:rFonts w:ascii="Palatino Linotype" w:hAnsi="Palatino Linotype" w:cs="Arial"/>
        </w:rPr>
        <w:t>, en virtud de que constituye el primer paso para integrar activamente a la ciudadanía en la acción gubernamental, toda vez que con la información proporcionada por medio de las políticas de transparencia, los ciudadanos son participes de las acciones de gobierno, lo que favorece la rendición de cuentas.</w:t>
      </w:r>
    </w:p>
    <w:p w:rsidR="0052766A" w:rsidRPr="0052766A" w:rsidRDefault="0052766A" w:rsidP="0052766A">
      <w:pPr>
        <w:spacing w:before="240" w:after="240" w:line="360" w:lineRule="auto"/>
        <w:contextualSpacing/>
        <w:jc w:val="both"/>
        <w:rPr>
          <w:rFonts w:ascii="Palatino Linotype" w:hAnsi="Palatino Linotype" w:cs="Arial"/>
        </w:rPr>
      </w:pPr>
    </w:p>
    <w:p w:rsidR="00485ADE" w:rsidRPr="0052766A" w:rsidRDefault="00485ADE" w:rsidP="0052766A">
      <w:pPr>
        <w:spacing w:before="240" w:after="240" w:line="360" w:lineRule="auto"/>
        <w:contextualSpacing/>
        <w:jc w:val="both"/>
        <w:rPr>
          <w:rFonts w:ascii="Palatino Linotype" w:hAnsi="Palatino Linotype" w:cs="Arial"/>
        </w:rPr>
      </w:pPr>
      <w:r w:rsidRPr="0052766A">
        <w:rPr>
          <w:rFonts w:ascii="Palatino Linotype" w:hAnsi="Palatino Linotype" w:cs="Arial"/>
        </w:rPr>
        <w:t xml:space="preserve">En este contexto, al referirse la Constitución Política de los Estados Unidos Mexicanos y la Ley de Transparencia </w:t>
      </w:r>
      <w:r w:rsidR="00A2316F" w:rsidRPr="0052766A">
        <w:rPr>
          <w:rFonts w:ascii="Palatino Linotype" w:hAnsi="Palatino Linotype" w:cs="Arial"/>
        </w:rPr>
        <w:t xml:space="preserve">vigente en la </w:t>
      </w:r>
      <w:r w:rsidR="00145D59" w:rsidRPr="0052766A">
        <w:rPr>
          <w:rFonts w:ascii="Palatino Linotype" w:hAnsi="Palatino Linotype" w:cs="Arial"/>
        </w:rPr>
        <w:t>E</w:t>
      </w:r>
      <w:r w:rsidR="00A2316F" w:rsidRPr="0052766A">
        <w:rPr>
          <w:rFonts w:ascii="Palatino Linotype" w:hAnsi="Palatino Linotype" w:cs="Arial"/>
        </w:rPr>
        <w:t xml:space="preserve">ntidad, </w:t>
      </w:r>
      <w:r w:rsidRPr="0052766A">
        <w:rPr>
          <w:rFonts w:ascii="Palatino Linotype" w:hAnsi="Palatino Linotype" w:cs="Arial"/>
        </w:rPr>
        <w:t xml:space="preserve">al procedimiento de acceso a la información pública bajo el principio de gratuidad, </w:t>
      </w:r>
      <w:r w:rsidR="00145D59" w:rsidRPr="0052766A">
        <w:rPr>
          <w:rFonts w:ascii="Palatino Linotype" w:hAnsi="Palatino Linotype" w:cs="Arial"/>
        </w:rPr>
        <w:t xml:space="preserve">lo hace con la finalidad de garantizar </w:t>
      </w:r>
      <w:r w:rsidRPr="0052766A">
        <w:rPr>
          <w:rFonts w:ascii="Palatino Linotype" w:hAnsi="Palatino Linotype" w:cs="Arial"/>
        </w:rPr>
        <w:t xml:space="preserve">la protección a un derecho fundamental que tiene dimensión social, al ser un condicionante necesario para el funcionamiento de una sociedad democrática, por lo que cualquier afectación a </w:t>
      </w:r>
      <w:r w:rsidR="00145D59" w:rsidRPr="0052766A">
        <w:rPr>
          <w:rFonts w:ascii="Palatino Linotype" w:hAnsi="Palatino Linotype" w:cs="Arial"/>
        </w:rPr>
        <w:t>e</w:t>
      </w:r>
      <w:r w:rsidRPr="0052766A">
        <w:rPr>
          <w:rFonts w:ascii="Palatino Linotype" w:hAnsi="Palatino Linotype" w:cs="Arial"/>
        </w:rPr>
        <w:t>ste</w:t>
      </w:r>
      <w:r w:rsidR="00A2316F" w:rsidRPr="0052766A">
        <w:rPr>
          <w:rFonts w:ascii="Palatino Linotype" w:hAnsi="Palatino Linotype" w:cs="Arial"/>
        </w:rPr>
        <w:t>,</w:t>
      </w:r>
      <w:r w:rsidRPr="0052766A">
        <w:rPr>
          <w:rFonts w:ascii="Palatino Linotype" w:hAnsi="Palatino Linotype" w:cs="Arial"/>
        </w:rPr>
        <w:t xml:space="preserve"> exige una justificación y jamás puede</w:t>
      </w:r>
      <w:r w:rsidR="00CD457B" w:rsidRPr="0052766A">
        <w:rPr>
          <w:rFonts w:ascii="Palatino Linotype" w:hAnsi="Palatino Linotype" w:cs="Arial"/>
        </w:rPr>
        <w:t xml:space="preserve"> tener efectos recaudatorios, a</w:t>
      </w:r>
      <w:r w:rsidRPr="0052766A">
        <w:rPr>
          <w:rFonts w:ascii="Palatino Linotype" w:hAnsi="Palatino Linotype" w:cs="Arial"/>
        </w:rPr>
        <w:t xml:space="preserve"> menos que la</w:t>
      </w:r>
      <w:r w:rsidR="00CD457B" w:rsidRPr="0052766A">
        <w:rPr>
          <w:rFonts w:ascii="Palatino Linotype" w:hAnsi="Palatino Linotype" w:cs="Arial"/>
        </w:rPr>
        <w:t xml:space="preserve"> reproducción de la información se haya requerido</w:t>
      </w:r>
      <w:r w:rsidRPr="0052766A">
        <w:rPr>
          <w:rFonts w:ascii="Palatino Linotype" w:hAnsi="Palatino Linotype" w:cs="Arial"/>
        </w:rPr>
        <w:t xml:space="preserve"> en </w:t>
      </w:r>
      <w:r w:rsidR="00CD457B" w:rsidRPr="0052766A">
        <w:rPr>
          <w:rFonts w:ascii="Palatino Linotype" w:hAnsi="Palatino Linotype" w:cs="Arial"/>
        </w:rPr>
        <w:t xml:space="preserve">copias </w:t>
      </w:r>
      <w:r w:rsidRPr="0052766A">
        <w:rPr>
          <w:rFonts w:ascii="Palatino Linotype" w:hAnsi="Palatino Linotype" w:cs="Arial"/>
        </w:rPr>
        <w:t>foto</w:t>
      </w:r>
      <w:r w:rsidR="00CD457B" w:rsidRPr="0052766A">
        <w:rPr>
          <w:rFonts w:ascii="Palatino Linotype" w:hAnsi="Palatino Linotype" w:cs="Arial"/>
        </w:rPr>
        <w:t>státicas</w:t>
      </w:r>
      <w:r w:rsidRPr="0052766A">
        <w:rPr>
          <w:rFonts w:ascii="Palatino Linotype" w:hAnsi="Palatino Linotype" w:cs="Arial"/>
        </w:rPr>
        <w:t>, respaldos informati</w:t>
      </w:r>
      <w:r w:rsidR="00DB416E" w:rsidRPr="0052766A">
        <w:rPr>
          <w:rFonts w:ascii="Palatino Linotype" w:hAnsi="Palatino Linotype" w:cs="Arial"/>
        </w:rPr>
        <w:t>v</w:t>
      </w:r>
      <w:r w:rsidRPr="0052766A">
        <w:rPr>
          <w:rFonts w:ascii="Palatino Linotype" w:hAnsi="Palatino Linotype" w:cs="Arial"/>
        </w:rPr>
        <w:t>os, entre otros</w:t>
      </w:r>
      <w:r w:rsidR="000D5992" w:rsidRPr="0052766A">
        <w:rPr>
          <w:rFonts w:ascii="Palatino Linotype" w:hAnsi="Palatino Linotype" w:cs="Arial"/>
        </w:rPr>
        <w:t>, que generen la utilización de un insumo material que sea entregado al particular</w:t>
      </w:r>
      <w:r w:rsidRPr="0052766A">
        <w:rPr>
          <w:rFonts w:ascii="Palatino Linotype" w:hAnsi="Palatino Linotype" w:cs="Arial"/>
        </w:rPr>
        <w:t>.</w:t>
      </w:r>
    </w:p>
    <w:p w:rsidR="0052766A" w:rsidRPr="0052766A" w:rsidRDefault="0052766A" w:rsidP="0052766A">
      <w:pPr>
        <w:spacing w:before="240" w:after="240" w:line="360" w:lineRule="auto"/>
        <w:contextualSpacing/>
        <w:jc w:val="both"/>
        <w:rPr>
          <w:rFonts w:ascii="Palatino Linotype" w:hAnsi="Palatino Linotype" w:cs="Arial"/>
        </w:rPr>
      </w:pPr>
    </w:p>
    <w:p w:rsidR="00C46764" w:rsidRPr="0052766A" w:rsidRDefault="00485ADE" w:rsidP="0052766A">
      <w:pPr>
        <w:spacing w:before="240" w:after="240" w:line="360" w:lineRule="auto"/>
        <w:contextualSpacing/>
        <w:jc w:val="both"/>
        <w:rPr>
          <w:rFonts w:ascii="Palatino Linotype" w:hAnsi="Palatino Linotype"/>
        </w:rPr>
      </w:pPr>
      <w:r w:rsidRPr="0052766A">
        <w:rPr>
          <w:rFonts w:ascii="Palatino Linotype" w:hAnsi="Palatino Linotype" w:cs="Arial"/>
        </w:rPr>
        <w:t>De tal manera</w:t>
      </w:r>
      <w:r w:rsidR="00A2316F" w:rsidRPr="0052766A">
        <w:rPr>
          <w:rFonts w:ascii="Palatino Linotype" w:hAnsi="Palatino Linotype" w:cs="Arial"/>
        </w:rPr>
        <w:t>,</w:t>
      </w:r>
      <w:r w:rsidRPr="0052766A">
        <w:rPr>
          <w:rFonts w:ascii="Palatino Linotype" w:hAnsi="Palatino Linotype" w:cs="Arial"/>
        </w:rPr>
        <w:t xml:space="preserve"> por regla general la entrega de la información </w:t>
      </w:r>
      <w:r w:rsidR="0079066A" w:rsidRPr="0052766A">
        <w:rPr>
          <w:rFonts w:ascii="Palatino Linotype" w:hAnsi="Palatino Linotype" w:cs="Arial"/>
        </w:rPr>
        <w:t xml:space="preserve">solicitada </w:t>
      </w:r>
      <w:r w:rsidRPr="0052766A">
        <w:rPr>
          <w:rFonts w:ascii="Palatino Linotype" w:hAnsi="Palatino Linotype" w:cs="Arial"/>
        </w:rPr>
        <w:t>en ejercicio del derecho de acceso a la información pública, deb</w:t>
      </w:r>
      <w:bookmarkStart w:id="0" w:name="_GoBack"/>
      <w:bookmarkEnd w:id="0"/>
      <w:r w:rsidRPr="0052766A">
        <w:rPr>
          <w:rFonts w:ascii="Palatino Linotype" w:hAnsi="Palatino Linotype" w:cs="Arial"/>
        </w:rPr>
        <w:t>erá ser en completa congruenci</w:t>
      </w:r>
      <w:r w:rsidR="00A2316F" w:rsidRPr="0052766A">
        <w:rPr>
          <w:rFonts w:ascii="Palatino Linotype" w:hAnsi="Palatino Linotype" w:cs="Arial"/>
        </w:rPr>
        <w:t xml:space="preserve">a con el principio de gratuidad y </w:t>
      </w:r>
      <w:r w:rsidRPr="0052766A">
        <w:rPr>
          <w:rFonts w:ascii="Palatino Linotype" w:hAnsi="Palatino Linotype" w:cs="Arial"/>
        </w:rPr>
        <w:t>solamente en casos excepcion</w:t>
      </w:r>
      <w:r w:rsidR="002C452B" w:rsidRPr="0052766A">
        <w:rPr>
          <w:rFonts w:ascii="Palatino Linotype" w:hAnsi="Palatino Linotype" w:cs="Arial"/>
        </w:rPr>
        <w:t>al</w:t>
      </w:r>
      <w:r w:rsidRPr="0052766A">
        <w:rPr>
          <w:rFonts w:ascii="Palatino Linotype" w:hAnsi="Palatino Linotype" w:cs="Arial"/>
        </w:rPr>
        <w:t>es</w:t>
      </w:r>
      <w:r w:rsidR="00A2316F" w:rsidRPr="0052766A">
        <w:rPr>
          <w:rFonts w:ascii="Palatino Linotype" w:hAnsi="Palatino Linotype" w:cs="Arial"/>
        </w:rPr>
        <w:t xml:space="preserve">, </w:t>
      </w:r>
      <w:r w:rsidRPr="0052766A">
        <w:rPr>
          <w:rFonts w:ascii="Palatino Linotype" w:hAnsi="Palatino Linotype" w:cs="Arial"/>
        </w:rPr>
        <w:t xml:space="preserve">se procederá al cobro para la entrega de la información, lo cual ocurrirá  en caso de que se tenga que generar un gasto por la modalidad de entrega solicitada o por </w:t>
      </w:r>
      <w:r w:rsidR="003A2FA3" w:rsidRPr="0052766A">
        <w:rPr>
          <w:rFonts w:ascii="Palatino Linotype" w:hAnsi="Palatino Linotype" w:cs="Arial"/>
        </w:rPr>
        <w:t xml:space="preserve">su </w:t>
      </w:r>
      <w:r w:rsidRPr="0052766A">
        <w:rPr>
          <w:rFonts w:ascii="Palatino Linotype" w:hAnsi="Palatino Linotype" w:cs="Arial"/>
        </w:rPr>
        <w:t>envió</w:t>
      </w:r>
      <w:r w:rsidR="00DE7BE8" w:rsidRPr="0052766A">
        <w:rPr>
          <w:rFonts w:ascii="Palatino Linotype" w:hAnsi="Palatino Linotype" w:cs="Arial"/>
        </w:rPr>
        <w:t>;</w:t>
      </w:r>
      <w:r w:rsidR="003A2FA3" w:rsidRPr="0052766A">
        <w:rPr>
          <w:rFonts w:ascii="Palatino Linotype" w:hAnsi="Palatino Linotype" w:cs="Arial"/>
        </w:rPr>
        <w:t xml:space="preserve"> </w:t>
      </w:r>
      <w:r w:rsidRPr="0052766A">
        <w:rPr>
          <w:rFonts w:ascii="Palatino Linotype" w:hAnsi="Palatino Linotype"/>
        </w:rPr>
        <w:t>sin embargo</w:t>
      </w:r>
      <w:r w:rsidR="003A2FA3" w:rsidRPr="0052766A">
        <w:rPr>
          <w:rFonts w:ascii="Palatino Linotype" w:hAnsi="Palatino Linotype"/>
        </w:rPr>
        <w:t xml:space="preserve">, </w:t>
      </w:r>
      <w:r w:rsidRPr="0052766A">
        <w:rPr>
          <w:rFonts w:ascii="Palatino Linotype" w:hAnsi="Palatino Linotype"/>
        </w:rPr>
        <w:t>en el caso</w:t>
      </w:r>
      <w:r w:rsidR="00A2316F" w:rsidRPr="0052766A">
        <w:rPr>
          <w:rFonts w:ascii="Palatino Linotype" w:hAnsi="Palatino Linotype"/>
        </w:rPr>
        <w:t xml:space="preserve"> concreto </w:t>
      </w:r>
      <w:r w:rsidRPr="0052766A">
        <w:rPr>
          <w:rFonts w:ascii="Palatino Linotype" w:hAnsi="Palatino Linotype"/>
        </w:rPr>
        <w:t>no se estima que se actualice ninguno de esos supuestos</w:t>
      </w:r>
      <w:r w:rsidR="003A2FA3" w:rsidRPr="0052766A">
        <w:rPr>
          <w:rFonts w:ascii="Palatino Linotype" w:hAnsi="Palatino Linotype"/>
        </w:rPr>
        <w:t xml:space="preserve">, pues </w:t>
      </w:r>
      <w:r w:rsidRPr="0052766A">
        <w:rPr>
          <w:rFonts w:ascii="Palatino Linotype" w:hAnsi="Palatino Linotype"/>
        </w:rPr>
        <w:t xml:space="preserve">no debe perderse de vista que </w:t>
      </w:r>
      <w:r w:rsidR="003A2FA3" w:rsidRPr="0052766A">
        <w:rPr>
          <w:rFonts w:ascii="Palatino Linotype" w:hAnsi="Palatino Linotype"/>
        </w:rPr>
        <w:t xml:space="preserve">el </w:t>
      </w:r>
      <w:r w:rsidRPr="0052766A">
        <w:rPr>
          <w:rFonts w:ascii="Palatino Linotype" w:hAnsi="Palatino Linotype"/>
        </w:rPr>
        <w:t xml:space="preserve">solicitante requirió la información a través del </w:t>
      </w:r>
      <w:r w:rsidR="00DE7BE8" w:rsidRPr="0052766A">
        <w:rPr>
          <w:rFonts w:ascii="Palatino Linotype" w:hAnsi="Palatino Linotype"/>
        </w:rPr>
        <w:t>Sistema de Acceso a la Información Mexiquense (</w:t>
      </w:r>
      <w:r w:rsidRPr="0052766A">
        <w:rPr>
          <w:rFonts w:ascii="Palatino Linotype" w:hAnsi="Palatino Linotype"/>
        </w:rPr>
        <w:t>S</w:t>
      </w:r>
      <w:r w:rsidR="003A2FA3" w:rsidRPr="0052766A">
        <w:rPr>
          <w:rFonts w:ascii="Palatino Linotype" w:hAnsi="Palatino Linotype"/>
        </w:rPr>
        <w:t>AIMEX</w:t>
      </w:r>
      <w:r w:rsidR="00DE7BE8" w:rsidRPr="0052766A">
        <w:rPr>
          <w:rFonts w:ascii="Palatino Linotype" w:hAnsi="Palatino Linotype"/>
        </w:rPr>
        <w:t>)</w:t>
      </w:r>
      <w:r w:rsidRPr="0052766A">
        <w:rPr>
          <w:rFonts w:ascii="Palatino Linotype" w:hAnsi="Palatino Linotype"/>
        </w:rPr>
        <w:t xml:space="preserve">, por lo </w:t>
      </w:r>
      <w:r w:rsidRPr="0052766A">
        <w:rPr>
          <w:rFonts w:ascii="Palatino Linotype" w:hAnsi="Palatino Linotype"/>
        </w:rPr>
        <w:lastRenderedPageBreak/>
        <w:t>que ello</w:t>
      </w:r>
      <w:r w:rsidR="00DE7BE8" w:rsidRPr="0052766A">
        <w:rPr>
          <w:rFonts w:ascii="Palatino Linotype" w:hAnsi="Palatino Linotype"/>
        </w:rPr>
        <w:t>,</w:t>
      </w:r>
      <w:r w:rsidRPr="0052766A">
        <w:rPr>
          <w:rFonts w:ascii="Palatino Linotype" w:hAnsi="Palatino Linotype"/>
        </w:rPr>
        <w:t xml:space="preserve"> únicamente implica la digitalización o escaneo de la información a entregar, lo cual no conlleva la utilización de materiales que generen un costo para el Sujeto Obligado; así tampoco se genera un gasto por el</w:t>
      </w:r>
      <w:r w:rsidR="009530AD" w:rsidRPr="0052766A">
        <w:rPr>
          <w:rFonts w:ascii="Palatino Linotype" w:hAnsi="Palatino Linotype"/>
        </w:rPr>
        <w:t xml:space="preserve"> envío </w:t>
      </w:r>
      <w:r w:rsidRPr="0052766A">
        <w:rPr>
          <w:rFonts w:ascii="Palatino Linotype" w:hAnsi="Palatino Linotype"/>
        </w:rPr>
        <w:t>de la información, ya que una de la</w:t>
      </w:r>
      <w:r w:rsidR="009530AD" w:rsidRPr="0052766A">
        <w:rPr>
          <w:rFonts w:ascii="Palatino Linotype" w:hAnsi="Palatino Linotype"/>
        </w:rPr>
        <w:t>s</w:t>
      </w:r>
      <w:r w:rsidRPr="0052766A">
        <w:rPr>
          <w:rFonts w:ascii="Palatino Linotype" w:hAnsi="Palatino Linotype"/>
        </w:rPr>
        <w:t xml:space="preserve"> finalidades de la utilización del </w:t>
      </w:r>
      <w:r w:rsidR="00DE7BE8" w:rsidRPr="0052766A">
        <w:rPr>
          <w:rFonts w:ascii="Palatino Linotype" w:hAnsi="Palatino Linotype"/>
        </w:rPr>
        <w:t>Sistema de Acceso a la Información Mexiquense</w:t>
      </w:r>
      <w:r w:rsidRPr="0052766A">
        <w:rPr>
          <w:rFonts w:ascii="Palatino Linotype" w:hAnsi="Palatino Linotype"/>
        </w:rPr>
        <w:t xml:space="preserve"> </w:t>
      </w:r>
      <w:r w:rsidR="00DE7BE8" w:rsidRPr="0052766A">
        <w:rPr>
          <w:rFonts w:ascii="Palatino Linotype" w:hAnsi="Palatino Linotype"/>
        </w:rPr>
        <w:t>(</w:t>
      </w:r>
      <w:r w:rsidRPr="0052766A">
        <w:rPr>
          <w:rFonts w:ascii="Palatino Linotype" w:hAnsi="Palatino Linotype"/>
        </w:rPr>
        <w:t>S</w:t>
      </w:r>
      <w:r w:rsidR="003A2FA3" w:rsidRPr="0052766A">
        <w:rPr>
          <w:rFonts w:ascii="Palatino Linotype" w:hAnsi="Palatino Linotype"/>
        </w:rPr>
        <w:t>AIMEX</w:t>
      </w:r>
      <w:r w:rsidR="00DE7BE8" w:rsidRPr="0052766A">
        <w:rPr>
          <w:rFonts w:ascii="Palatino Linotype" w:hAnsi="Palatino Linotype"/>
        </w:rPr>
        <w:t>)</w:t>
      </w:r>
      <w:r w:rsidRPr="0052766A">
        <w:rPr>
          <w:rFonts w:ascii="Palatino Linotype" w:hAnsi="Palatino Linotype"/>
        </w:rPr>
        <w:t xml:space="preserve"> es evitar la generación de gastos</w:t>
      </w:r>
      <w:r w:rsidR="00DE7BE8" w:rsidRPr="0052766A">
        <w:rPr>
          <w:rFonts w:ascii="Palatino Linotype" w:hAnsi="Palatino Linotype"/>
        </w:rPr>
        <w:t xml:space="preserve"> o traslados</w:t>
      </w:r>
      <w:r w:rsidR="003A2FA3" w:rsidRPr="0052766A">
        <w:rPr>
          <w:rFonts w:ascii="Palatino Linotype" w:hAnsi="Palatino Linotype"/>
        </w:rPr>
        <w:t>, t</w:t>
      </w:r>
      <w:r w:rsidRPr="0052766A">
        <w:rPr>
          <w:rFonts w:ascii="Palatino Linotype" w:hAnsi="Palatino Linotype"/>
        </w:rPr>
        <w:t xml:space="preserve">anto para los solicitantes como para los </w:t>
      </w:r>
      <w:r w:rsidR="00DE7BE8" w:rsidRPr="0052766A">
        <w:rPr>
          <w:rFonts w:ascii="Palatino Linotype" w:hAnsi="Palatino Linotype"/>
        </w:rPr>
        <w:t>sujetos obligados</w:t>
      </w:r>
      <w:r w:rsidRPr="0052766A">
        <w:rPr>
          <w:rFonts w:ascii="Palatino Linotype" w:hAnsi="Palatino Linotype"/>
        </w:rPr>
        <w:t xml:space="preserve">, pues se trata de un sistema electrónico que para </w:t>
      </w:r>
      <w:r w:rsidR="004967C2" w:rsidRPr="0052766A">
        <w:rPr>
          <w:rFonts w:ascii="Palatino Linotype" w:hAnsi="Palatino Linotype"/>
        </w:rPr>
        <w:t xml:space="preserve">su acceso </w:t>
      </w:r>
      <w:r w:rsidRPr="0052766A">
        <w:rPr>
          <w:rFonts w:ascii="Palatino Linotype" w:hAnsi="Palatino Linotype"/>
        </w:rPr>
        <w:t>no</w:t>
      </w:r>
      <w:r w:rsidR="004967C2" w:rsidRPr="0052766A">
        <w:rPr>
          <w:rFonts w:ascii="Palatino Linotype" w:hAnsi="Palatino Linotype"/>
        </w:rPr>
        <w:t xml:space="preserve"> se </w:t>
      </w:r>
      <w:r w:rsidRPr="0052766A">
        <w:rPr>
          <w:rFonts w:ascii="Palatino Linotype" w:hAnsi="Palatino Linotype"/>
        </w:rPr>
        <w:t>necesita recurso</w:t>
      </w:r>
      <w:r w:rsidR="00DE7BE8" w:rsidRPr="0052766A">
        <w:rPr>
          <w:rFonts w:ascii="Palatino Linotype" w:hAnsi="Palatino Linotype"/>
        </w:rPr>
        <w:t xml:space="preserve"> económico</w:t>
      </w:r>
      <w:r w:rsidRPr="0052766A">
        <w:rPr>
          <w:rFonts w:ascii="Palatino Linotype" w:hAnsi="Palatino Linotype"/>
        </w:rPr>
        <w:t xml:space="preserve"> alguno, sino solamente la conexión a un sistema de </w:t>
      </w:r>
      <w:r w:rsidR="00145D59" w:rsidRPr="0052766A">
        <w:rPr>
          <w:rFonts w:ascii="Palatino Linotype" w:hAnsi="Palatino Linotype"/>
        </w:rPr>
        <w:t>I</w:t>
      </w:r>
      <w:r w:rsidRPr="0052766A">
        <w:rPr>
          <w:rFonts w:ascii="Palatino Linotype" w:hAnsi="Palatino Linotype"/>
        </w:rPr>
        <w:t>nternet</w:t>
      </w:r>
      <w:r w:rsidR="00C46764" w:rsidRPr="0052766A">
        <w:rPr>
          <w:rFonts w:ascii="Palatino Linotype" w:hAnsi="Palatino Linotype"/>
        </w:rPr>
        <w:t xml:space="preserve">. </w:t>
      </w:r>
    </w:p>
    <w:p w:rsidR="0052766A" w:rsidRPr="0052766A" w:rsidRDefault="0052766A" w:rsidP="0052766A">
      <w:pPr>
        <w:spacing w:before="240" w:after="240" w:line="360" w:lineRule="auto"/>
        <w:contextualSpacing/>
        <w:jc w:val="both"/>
        <w:rPr>
          <w:rFonts w:ascii="Palatino Linotype" w:hAnsi="Palatino Linotype"/>
        </w:rPr>
      </w:pPr>
    </w:p>
    <w:p w:rsidR="00C46764" w:rsidRDefault="00485ADE" w:rsidP="0052766A">
      <w:pPr>
        <w:spacing w:before="240" w:after="240" w:line="360" w:lineRule="auto"/>
        <w:contextualSpacing/>
        <w:jc w:val="both"/>
        <w:rPr>
          <w:rFonts w:ascii="Palatino Linotype" w:hAnsi="Palatino Linotype" w:cs="Arial"/>
        </w:rPr>
      </w:pPr>
      <w:r w:rsidRPr="0052766A">
        <w:rPr>
          <w:rFonts w:ascii="Palatino Linotype" w:hAnsi="Palatino Linotype"/>
        </w:rPr>
        <w:t xml:space="preserve">Aunado a lo anterior, </w:t>
      </w:r>
      <w:r w:rsidR="002A6FB8" w:rsidRPr="0052766A">
        <w:rPr>
          <w:rFonts w:ascii="Palatino Linotype" w:hAnsi="Palatino Linotype"/>
        </w:rPr>
        <w:t xml:space="preserve">es pertinente mencionar </w:t>
      </w:r>
      <w:r w:rsidRPr="0052766A">
        <w:rPr>
          <w:rFonts w:ascii="Palatino Linotype" w:hAnsi="Palatino Linotype" w:cs="Arial"/>
        </w:rPr>
        <w:t>la exposición de motivos de la Ley de Transparencia y Acceso a la Información Pública</w:t>
      </w:r>
      <w:r w:rsidR="002A6FB8" w:rsidRPr="0052766A">
        <w:rPr>
          <w:rFonts w:ascii="Palatino Linotype" w:hAnsi="Palatino Linotype" w:cs="Arial"/>
        </w:rPr>
        <w:t xml:space="preserve"> multireferida</w:t>
      </w:r>
      <w:r w:rsidR="00C46764" w:rsidRPr="0052766A">
        <w:rPr>
          <w:rFonts w:ascii="Palatino Linotype" w:hAnsi="Palatino Linotype" w:cs="Arial"/>
        </w:rPr>
        <w:t xml:space="preserve">, </w:t>
      </w:r>
      <w:r w:rsidR="002A6FB8" w:rsidRPr="0052766A">
        <w:rPr>
          <w:rFonts w:ascii="Palatino Linotype" w:hAnsi="Palatino Linotype" w:cs="Arial"/>
        </w:rPr>
        <w:t xml:space="preserve">cuyo texto </w:t>
      </w:r>
      <w:r w:rsidRPr="0052766A">
        <w:rPr>
          <w:rFonts w:ascii="Palatino Linotype" w:hAnsi="Palatino Linotype" w:cs="Arial"/>
        </w:rPr>
        <w:t>señala que se adoptar</w:t>
      </w:r>
      <w:r w:rsidR="002A6FB8" w:rsidRPr="0052766A">
        <w:rPr>
          <w:rFonts w:ascii="Palatino Linotype" w:hAnsi="Palatino Linotype" w:cs="Arial"/>
        </w:rPr>
        <w:t>á</w:t>
      </w:r>
      <w:r w:rsidRPr="0052766A">
        <w:rPr>
          <w:rFonts w:ascii="Palatino Linotype" w:hAnsi="Palatino Linotype" w:cs="Arial"/>
        </w:rPr>
        <w:t xml:space="preserve"> una ruta regida por el principio de progresividad en l</w:t>
      </w:r>
      <w:r w:rsidR="002A6FB8" w:rsidRPr="0052766A">
        <w:rPr>
          <w:rFonts w:ascii="Palatino Linotype" w:hAnsi="Palatino Linotype" w:cs="Arial"/>
        </w:rPr>
        <w:t xml:space="preserve">a materia, que implique </w:t>
      </w:r>
      <w:r w:rsidRPr="0052766A">
        <w:rPr>
          <w:rFonts w:ascii="Palatino Linotype" w:hAnsi="Palatino Linotype" w:cs="Arial"/>
        </w:rPr>
        <w:t xml:space="preserve">plena interconectividad entre las plataformas estatales existentes, las cuales deberán acoplarse a </w:t>
      </w:r>
      <w:r w:rsidR="002A6FB8" w:rsidRPr="0052766A">
        <w:rPr>
          <w:rFonts w:ascii="Palatino Linotype" w:hAnsi="Palatino Linotype" w:cs="Arial"/>
        </w:rPr>
        <w:t xml:space="preserve">la plataforma nacional, lo que conlleva desde </w:t>
      </w:r>
      <w:r w:rsidRPr="0052766A">
        <w:rPr>
          <w:rFonts w:ascii="Palatino Linotype" w:hAnsi="Palatino Linotype" w:cs="Arial"/>
        </w:rPr>
        <w:t>un primer momento</w:t>
      </w:r>
      <w:r w:rsidR="002A6FB8" w:rsidRPr="0052766A">
        <w:rPr>
          <w:rFonts w:ascii="Palatino Linotype" w:hAnsi="Palatino Linotype" w:cs="Arial"/>
        </w:rPr>
        <w:t xml:space="preserve">, </w:t>
      </w:r>
      <w:r w:rsidRPr="0052766A">
        <w:rPr>
          <w:rFonts w:ascii="Palatino Linotype" w:hAnsi="Palatino Linotype" w:cs="Arial"/>
        </w:rPr>
        <w:t>utilizar la información digitalizada por la propia función del gobiern</w:t>
      </w:r>
      <w:r w:rsidR="00824149" w:rsidRPr="0052766A">
        <w:rPr>
          <w:rFonts w:ascii="Palatino Linotype" w:hAnsi="Palatino Linotype" w:cs="Arial"/>
        </w:rPr>
        <w:t>o y en datos abiertos</w:t>
      </w:r>
      <w:r w:rsidR="00C46764" w:rsidRPr="0052766A">
        <w:rPr>
          <w:rFonts w:ascii="Palatino Linotype" w:hAnsi="Palatino Linotype" w:cs="Arial"/>
        </w:rPr>
        <w:t xml:space="preserve">. </w:t>
      </w:r>
    </w:p>
    <w:p w:rsidR="001F7B38" w:rsidRPr="0052766A" w:rsidRDefault="001F7B38" w:rsidP="0052766A">
      <w:pPr>
        <w:spacing w:before="240" w:after="240" w:line="360" w:lineRule="auto"/>
        <w:contextualSpacing/>
        <w:jc w:val="both"/>
        <w:rPr>
          <w:rFonts w:ascii="Palatino Linotype" w:hAnsi="Palatino Linotype" w:cs="Arial"/>
        </w:rPr>
      </w:pPr>
    </w:p>
    <w:p w:rsidR="00485ADE" w:rsidRPr="0052766A" w:rsidRDefault="00C46764" w:rsidP="0052766A">
      <w:pPr>
        <w:spacing w:before="240" w:after="240" w:line="360" w:lineRule="auto"/>
        <w:contextualSpacing/>
        <w:jc w:val="both"/>
        <w:rPr>
          <w:rFonts w:ascii="Palatino Linotype" w:hAnsi="Palatino Linotype" w:cs="Arial"/>
        </w:rPr>
      </w:pPr>
      <w:r w:rsidRPr="0052766A">
        <w:rPr>
          <w:rFonts w:ascii="Palatino Linotype" w:hAnsi="Palatino Linotype" w:cs="Arial"/>
        </w:rPr>
        <w:t>A</w:t>
      </w:r>
      <w:r w:rsidR="00824149" w:rsidRPr="0052766A">
        <w:rPr>
          <w:rFonts w:ascii="Palatino Linotype" w:hAnsi="Palatino Linotype" w:cs="Arial"/>
        </w:rPr>
        <w:t xml:space="preserve"> su vez, </w:t>
      </w:r>
      <w:r w:rsidR="00485ADE" w:rsidRPr="0052766A">
        <w:rPr>
          <w:rFonts w:ascii="Palatino Linotype" w:hAnsi="Palatino Linotype" w:cs="Arial"/>
        </w:rPr>
        <w:t>el artículo 24</w:t>
      </w:r>
      <w:r w:rsidR="002A6FB8" w:rsidRPr="0052766A">
        <w:rPr>
          <w:rFonts w:ascii="Palatino Linotype" w:hAnsi="Palatino Linotype" w:cs="Arial"/>
        </w:rPr>
        <w:t>,</w:t>
      </w:r>
      <w:r w:rsidR="00485ADE" w:rsidRPr="0052766A">
        <w:rPr>
          <w:rFonts w:ascii="Palatino Linotype" w:hAnsi="Palatino Linotype" w:cs="Arial"/>
        </w:rPr>
        <w:t xml:space="preserve"> fracción XXIII</w:t>
      </w:r>
      <w:r w:rsidR="00145D59" w:rsidRPr="0052766A">
        <w:rPr>
          <w:rFonts w:ascii="Palatino Linotype" w:hAnsi="Palatino Linotype" w:cs="Arial"/>
        </w:rPr>
        <w:t>, de la Ley en cita,</w:t>
      </w:r>
      <w:r w:rsidR="00485ADE" w:rsidRPr="0052766A">
        <w:rPr>
          <w:rFonts w:ascii="Palatino Linotype" w:hAnsi="Palatino Linotype" w:cs="Arial"/>
        </w:rPr>
        <w:t xml:space="preserve"> dispone como obligación de los entes públicos,</w:t>
      </w:r>
      <w:r w:rsidR="00824149" w:rsidRPr="0052766A">
        <w:rPr>
          <w:rFonts w:ascii="Palatino Linotype" w:hAnsi="Palatino Linotype" w:cs="Arial"/>
        </w:rPr>
        <w:t xml:space="preserve"> </w:t>
      </w:r>
      <w:r w:rsidR="00485ADE" w:rsidRPr="0052766A">
        <w:rPr>
          <w:rFonts w:ascii="Palatino Linotype" w:hAnsi="Palatino Linotype" w:cs="Arial"/>
        </w:rPr>
        <w:t xml:space="preserve">procurar la digitalización de toda la información pública en su poder, mientras que </w:t>
      </w:r>
      <w:r w:rsidR="001E3B4A" w:rsidRPr="0052766A">
        <w:rPr>
          <w:rFonts w:ascii="Palatino Linotype" w:hAnsi="Palatino Linotype" w:cs="Arial"/>
        </w:rPr>
        <w:t xml:space="preserve">el </w:t>
      </w:r>
      <w:r w:rsidR="00485ADE" w:rsidRPr="0052766A">
        <w:rPr>
          <w:rFonts w:ascii="Palatino Linotype" w:hAnsi="Palatino Linotype" w:cs="Arial"/>
        </w:rPr>
        <w:t xml:space="preserve">diverso 175 </w:t>
      </w:r>
      <w:r w:rsidR="00DE7BE8" w:rsidRPr="0052766A">
        <w:rPr>
          <w:rFonts w:ascii="Palatino Linotype" w:hAnsi="Palatino Linotype" w:cs="Arial"/>
        </w:rPr>
        <w:t xml:space="preserve">de la misma, </w:t>
      </w:r>
      <w:r w:rsidR="00485ADE" w:rsidRPr="0052766A">
        <w:rPr>
          <w:rFonts w:ascii="Palatino Linotype" w:hAnsi="Palatino Linotype" w:cs="Arial"/>
        </w:rPr>
        <w:t>prevé que la información que deban publicar en términos de la Ley o deba ser generada de manera electrónica, según lo dispongan las disposiciones legales o administrativas</w:t>
      </w:r>
      <w:r w:rsidR="00447044" w:rsidRPr="0052766A">
        <w:rPr>
          <w:rFonts w:ascii="Palatino Linotype" w:hAnsi="Palatino Linotype" w:cs="Arial"/>
        </w:rPr>
        <w:t>,</w:t>
      </w:r>
      <w:r w:rsidR="00485ADE" w:rsidRPr="0052766A">
        <w:rPr>
          <w:rFonts w:ascii="Palatino Linotype" w:hAnsi="Palatino Linotype" w:cs="Arial"/>
        </w:rPr>
        <w:t xml:space="preserve"> no podrán tener </w:t>
      </w:r>
      <w:r w:rsidR="00485ADE" w:rsidRPr="0052766A">
        <w:rPr>
          <w:rFonts w:ascii="Palatino Linotype" w:hAnsi="Palatino Linotype" w:cs="Arial"/>
          <w:b/>
        </w:rPr>
        <w:t xml:space="preserve">ningún costo, </w:t>
      </w:r>
      <w:r w:rsidR="00485ADE" w:rsidRPr="0052766A">
        <w:rPr>
          <w:rFonts w:ascii="Palatino Linotype" w:hAnsi="Palatino Linotype" w:cs="Arial"/>
        </w:rPr>
        <w:t>incluyendo aquella que se hubiera digitalizado previamente por cualquier motivo, aún menos en aquellos casos en que la modalidad de entrega sea por medio de la plataforma o vía electrónica.</w:t>
      </w:r>
    </w:p>
    <w:p w:rsidR="0052766A" w:rsidRPr="0052766A" w:rsidRDefault="0052766A" w:rsidP="0052766A">
      <w:pPr>
        <w:spacing w:before="240" w:after="240" w:line="360" w:lineRule="auto"/>
        <w:contextualSpacing/>
        <w:jc w:val="both"/>
        <w:rPr>
          <w:rFonts w:ascii="Palatino Linotype" w:hAnsi="Palatino Linotype" w:cs="Arial"/>
        </w:rPr>
      </w:pPr>
    </w:p>
    <w:p w:rsidR="0052766A" w:rsidRPr="0052766A" w:rsidRDefault="00485ADE" w:rsidP="0052766A">
      <w:pPr>
        <w:spacing w:before="240" w:after="240" w:line="360" w:lineRule="auto"/>
        <w:contextualSpacing/>
        <w:jc w:val="both"/>
        <w:rPr>
          <w:rFonts w:ascii="Palatino Linotype" w:hAnsi="Palatino Linotype"/>
          <w:color w:val="000000"/>
        </w:rPr>
      </w:pPr>
      <w:r w:rsidRPr="0052766A">
        <w:rPr>
          <w:rFonts w:ascii="Palatino Linotype" w:hAnsi="Palatino Linotype" w:cs="Arial"/>
        </w:rPr>
        <w:lastRenderedPageBreak/>
        <w:t xml:space="preserve">Por lo </w:t>
      </w:r>
      <w:r w:rsidR="0054431B" w:rsidRPr="0052766A">
        <w:rPr>
          <w:rFonts w:ascii="Palatino Linotype" w:hAnsi="Palatino Linotype" w:cs="Arial"/>
        </w:rPr>
        <w:t xml:space="preserve">tanto, </w:t>
      </w:r>
      <w:r w:rsidR="00DE7BE8" w:rsidRPr="0052766A">
        <w:rPr>
          <w:rFonts w:ascii="Palatino Linotype" w:hAnsi="Palatino Linotype" w:cs="Arial"/>
        </w:rPr>
        <w:t xml:space="preserve">no existe </w:t>
      </w:r>
      <w:r w:rsidRPr="0052766A">
        <w:rPr>
          <w:rFonts w:ascii="Palatino Linotype" w:hAnsi="Palatino Linotype" w:cs="Arial"/>
        </w:rPr>
        <w:t>supuesto jurídico que autorice al Sujeto Obligado</w:t>
      </w:r>
      <w:r w:rsidRPr="0052766A">
        <w:rPr>
          <w:rFonts w:ascii="Palatino Linotype" w:hAnsi="Palatino Linotype" w:cs="Arial"/>
          <w:b/>
        </w:rPr>
        <w:t xml:space="preserve"> </w:t>
      </w:r>
      <w:r w:rsidRPr="0052766A">
        <w:rPr>
          <w:rFonts w:ascii="Palatino Linotype" w:hAnsi="Palatino Linotype" w:cs="Arial"/>
        </w:rPr>
        <w:t xml:space="preserve">a requerir un pago para entregar la información vía </w:t>
      </w:r>
      <w:r w:rsidR="00DE7BE8" w:rsidRPr="0052766A">
        <w:rPr>
          <w:rFonts w:ascii="Palatino Linotype" w:hAnsi="Palatino Linotype"/>
        </w:rPr>
        <w:t>Sistema de Acceso a la Información Mexiquense</w:t>
      </w:r>
      <w:r w:rsidR="00DE7BE8" w:rsidRPr="0052766A">
        <w:rPr>
          <w:rFonts w:ascii="Palatino Linotype" w:hAnsi="Palatino Linotype" w:cs="Arial"/>
        </w:rPr>
        <w:t xml:space="preserve"> (</w:t>
      </w:r>
      <w:r w:rsidR="00824149" w:rsidRPr="0052766A">
        <w:rPr>
          <w:rFonts w:ascii="Palatino Linotype" w:hAnsi="Palatino Linotype" w:cs="Arial"/>
        </w:rPr>
        <w:t>SAIMEX</w:t>
      </w:r>
      <w:r w:rsidR="00DE7BE8" w:rsidRPr="0052766A">
        <w:rPr>
          <w:rFonts w:ascii="Palatino Linotype" w:hAnsi="Palatino Linotype" w:cs="Arial"/>
        </w:rPr>
        <w:t>)</w:t>
      </w:r>
      <w:r w:rsidRPr="0052766A">
        <w:rPr>
          <w:rFonts w:ascii="Palatino Linotype" w:hAnsi="Palatino Linotype" w:cs="Arial"/>
        </w:rPr>
        <w:t xml:space="preserve">, </w:t>
      </w:r>
      <w:r w:rsidRPr="0052766A">
        <w:rPr>
          <w:rFonts w:ascii="Palatino Linotype" w:hAnsi="Palatino Linotype"/>
          <w:color w:val="000000"/>
        </w:rPr>
        <w:t xml:space="preserve">debido a que dicho sistema fue creado para facilitar el registro y atención de las solicitudes de información y </w:t>
      </w:r>
      <w:r w:rsidRPr="0052766A">
        <w:rPr>
          <w:rFonts w:ascii="Palatino Linotype" w:hAnsi="Palatino Linotype" w:cs="Arial"/>
        </w:rPr>
        <w:t xml:space="preserve">es su obligación trasladar la </w:t>
      </w:r>
      <w:r w:rsidRPr="0052766A">
        <w:rPr>
          <w:rFonts w:ascii="Palatino Linotype" w:hAnsi="Palatino Linotype"/>
          <w:color w:val="000000"/>
        </w:rPr>
        <w:t>información de un soporte físico a uno electrónico y cuidar que los medios electrónicos o impresos en los que conste tanto información pública, como confidencial y reservada se entreguen en versión pública en los casos que resulte necesario.</w:t>
      </w:r>
    </w:p>
    <w:p w:rsidR="0052766A" w:rsidRPr="0052766A" w:rsidRDefault="0052766A" w:rsidP="0052766A">
      <w:pPr>
        <w:spacing w:before="240" w:after="240" w:line="360" w:lineRule="auto"/>
        <w:contextualSpacing/>
        <w:jc w:val="both"/>
        <w:rPr>
          <w:rFonts w:ascii="Palatino Linotype" w:hAnsi="Palatino Linotype"/>
          <w:color w:val="000000"/>
        </w:rPr>
      </w:pPr>
    </w:p>
    <w:p w:rsidR="00485ADE" w:rsidRPr="0052766A" w:rsidRDefault="00485ADE" w:rsidP="0052766A">
      <w:pPr>
        <w:spacing w:before="240" w:after="240" w:line="360" w:lineRule="auto"/>
        <w:contextualSpacing/>
        <w:jc w:val="both"/>
        <w:rPr>
          <w:rFonts w:ascii="Palatino Linotype" w:hAnsi="Palatino Linotype" w:cs="Arial"/>
        </w:rPr>
      </w:pPr>
      <w:r w:rsidRPr="0052766A">
        <w:rPr>
          <w:rFonts w:ascii="Palatino Linotype" w:hAnsi="Palatino Linotype" w:cs="Arial"/>
        </w:rPr>
        <w:t xml:space="preserve">Pensar lo contrario, sería tanto como reconocer que la utilización del </w:t>
      </w:r>
      <w:r w:rsidR="00DE7BE8" w:rsidRPr="0052766A">
        <w:rPr>
          <w:rFonts w:ascii="Palatino Linotype" w:hAnsi="Palatino Linotype"/>
        </w:rPr>
        <w:t>Sistema de Acceso a la Información Mexiquense</w:t>
      </w:r>
      <w:r w:rsidR="00DE7BE8" w:rsidRPr="0052766A">
        <w:rPr>
          <w:rFonts w:ascii="Palatino Linotype" w:hAnsi="Palatino Linotype" w:cs="Arial"/>
        </w:rPr>
        <w:t xml:space="preserve"> (</w:t>
      </w:r>
      <w:r w:rsidR="00824149" w:rsidRPr="0052766A">
        <w:rPr>
          <w:rFonts w:ascii="Palatino Linotype" w:hAnsi="Palatino Linotype" w:cs="Arial"/>
        </w:rPr>
        <w:t>SAIMEX</w:t>
      </w:r>
      <w:r w:rsidR="00DE7BE8" w:rsidRPr="0052766A">
        <w:rPr>
          <w:rFonts w:ascii="Palatino Linotype" w:hAnsi="Palatino Linotype" w:cs="Arial"/>
        </w:rPr>
        <w:t>)</w:t>
      </w:r>
      <w:r w:rsidRPr="0052766A">
        <w:rPr>
          <w:rFonts w:ascii="Palatino Linotype" w:hAnsi="Palatino Linotype" w:cs="Arial"/>
        </w:rPr>
        <w:t xml:space="preserve"> transgrede o limita el derecho de acceso a la información pública de los solicitantes, ya que de requerir la entrega de la información a la cual desean acceder a través del mismo, implica</w:t>
      </w:r>
      <w:r w:rsidR="00824149" w:rsidRPr="0052766A">
        <w:rPr>
          <w:rFonts w:ascii="Palatino Linotype" w:hAnsi="Palatino Linotype" w:cs="Arial"/>
        </w:rPr>
        <w:t>ría</w:t>
      </w:r>
      <w:r w:rsidRPr="0052766A">
        <w:rPr>
          <w:rFonts w:ascii="Palatino Linotype" w:hAnsi="Palatino Linotype" w:cs="Arial"/>
        </w:rPr>
        <w:t xml:space="preserve"> la obligación de pagar por la atención a su derecho</w:t>
      </w:r>
      <w:r w:rsidR="00DE7BE8" w:rsidRPr="0052766A">
        <w:rPr>
          <w:rFonts w:ascii="Palatino Linotype" w:hAnsi="Palatino Linotype" w:cs="Arial"/>
        </w:rPr>
        <w:t>,</w:t>
      </w:r>
      <w:r w:rsidR="00824149" w:rsidRPr="0052766A">
        <w:rPr>
          <w:rFonts w:ascii="Palatino Linotype" w:hAnsi="Palatino Linotype" w:cs="Arial"/>
        </w:rPr>
        <w:t xml:space="preserve"> </w:t>
      </w:r>
      <w:r w:rsidRPr="0052766A">
        <w:rPr>
          <w:rFonts w:ascii="Palatino Linotype" w:hAnsi="Palatino Linotype" w:cs="Arial"/>
        </w:rPr>
        <w:t>cuando se trate de información que no se encuentre contemplada en las obligaciones de transparencia comunes y específicas</w:t>
      </w:r>
      <w:r w:rsidR="00DE7BE8" w:rsidRPr="0052766A">
        <w:rPr>
          <w:rFonts w:ascii="Palatino Linotype" w:hAnsi="Palatino Linotype" w:cs="Arial"/>
        </w:rPr>
        <w:t xml:space="preserve"> previstas en los artículos 92 a 105 de la Ley de Transparencia y Acceso a la Información Pública del Estado de México y Municipios</w:t>
      </w:r>
      <w:r w:rsidR="00824149" w:rsidRPr="0052766A">
        <w:rPr>
          <w:rFonts w:ascii="Palatino Linotype" w:hAnsi="Palatino Linotype" w:cs="Arial"/>
        </w:rPr>
        <w:t xml:space="preserve">. </w:t>
      </w:r>
    </w:p>
    <w:p w:rsidR="0052766A" w:rsidRPr="0052766A" w:rsidRDefault="0052766A" w:rsidP="0052766A">
      <w:pPr>
        <w:spacing w:before="240" w:after="240" w:line="360" w:lineRule="auto"/>
        <w:contextualSpacing/>
        <w:jc w:val="both"/>
        <w:rPr>
          <w:rFonts w:ascii="Palatino Linotype" w:hAnsi="Palatino Linotype" w:cs="Arial"/>
        </w:rPr>
      </w:pPr>
    </w:p>
    <w:p w:rsidR="00485ADE" w:rsidRPr="0052766A" w:rsidRDefault="00485ADE" w:rsidP="0052766A">
      <w:pPr>
        <w:spacing w:before="240" w:after="240" w:line="360" w:lineRule="auto"/>
        <w:contextualSpacing/>
        <w:jc w:val="both"/>
        <w:rPr>
          <w:rFonts w:ascii="Palatino Linotype" w:hAnsi="Palatino Linotype" w:cs="Arial"/>
        </w:rPr>
      </w:pPr>
      <w:r w:rsidRPr="0052766A">
        <w:rPr>
          <w:rFonts w:ascii="Palatino Linotype" w:hAnsi="Palatino Linotype"/>
          <w:color w:val="000000"/>
        </w:rPr>
        <w:t xml:space="preserve">Bajo esta óptica, el </w:t>
      </w:r>
      <w:r w:rsidRPr="0052766A">
        <w:rPr>
          <w:rFonts w:ascii="Palatino Linotype" w:hAnsi="Palatino Linotype"/>
        </w:rPr>
        <w:t xml:space="preserve">derecho del </w:t>
      </w:r>
      <w:r w:rsidR="0052766A" w:rsidRPr="0052766A">
        <w:rPr>
          <w:rFonts w:ascii="Palatino Linotype" w:hAnsi="Palatino Linotype"/>
        </w:rPr>
        <w:t xml:space="preserve">Particular </w:t>
      </w:r>
      <w:r w:rsidRPr="0052766A">
        <w:rPr>
          <w:rFonts w:ascii="Palatino Linotype" w:hAnsi="Palatino Linotype"/>
        </w:rPr>
        <w:t>de acceder a los documentos que obran en posesión del Sujeto Obligado</w:t>
      </w:r>
      <w:r w:rsidRPr="0052766A">
        <w:rPr>
          <w:rFonts w:ascii="Palatino Linotype" w:hAnsi="Palatino Linotype"/>
          <w:b/>
        </w:rPr>
        <w:t xml:space="preserve"> </w:t>
      </w:r>
      <w:r w:rsidRPr="0052766A">
        <w:rPr>
          <w:rFonts w:ascii="Palatino Linotype" w:hAnsi="Palatino Linotype"/>
        </w:rPr>
        <w:t>se limit</w:t>
      </w:r>
      <w:r w:rsidR="00824149" w:rsidRPr="0052766A">
        <w:rPr>
          <w:rFonts w:ascii="Palatino Linotype" w:hAnsi="Palatino Linotype"/>
        </w:rPr>
        <w:t>ó</w:t>
      </w:r>
      <w:r w:rsidRPr="0052766A">
        <w:rPr>
          <w:rFonts w:ascii="Palatino Linotype" w:hAnsi="Palatino Linotype"/>
        </w:rPr>
        <w:t>, en virtud de que no le fue proporcionada la información solicitada</w:t>
      </w:r>
      <w:r w:rsidR="00824149" w:rsidRPr="0052766A">
        <w:rPr>
          <w:rFonts w:ascii="Palatino Linotype" w:hAnsi="Palatino Linotype"/>
        </w:rPr>
        <w:t xml:space="preserve"> con lo cual se </w:t>
      </w:r>
      <w:r w:rsidRPr="0052766A">
        <w:rPr>
          <w:rFonts w:ascii="Palatino Linotype" w:hAnsi="Palatino Linotype" w:cs="Arial"/>
          <w:bCs/>
        </w:rPr>
        <w:t>incumpli</w:t>
      </w:r>
      <w:r w:rsidR="00824149" w:rsidRPr="0052766A">
        <w:rPr>
          <w:rFonts w:ascii="Palatino Linotype" w:hAnsi="Palatino Linotype" w:cs="Arial"/>
          <w:bCs/>
        </w:rPr>
        <w:t xml:space="preserve">ó </w:t>
      </w:r>
      <w:r w:rsidRPr="0052766A">
        <w:rPr>
          <w:rFonts w:ascii="Palatino Linotype" w:hAnsi="Palatino Linotype" w:cs="Arial"/>
          <w:bCs/>
        </w:rPr>
        <w:t>lo previsto en</w:t>
      </w:r>
      <w:r w:rsidR="00C64D70" w:rsidRPr="0052766A">
        <w:rPr>
          <w:rFonts w:ascii="Palatino Linotype" w:hAnsi="Palatino Linotype" w:cs="Arial"/>
          <w:bCs/>
        </w:rPr>
        <w:t xml:space="preserve"> el artículo 4</w:t>
      </w:r>
      <w:r w:rsidR="00DE7BE8" w:rsidRPr="0052766A">
        <w:rPr>
          <w:rFonts w:ascii="Palatino Linotype" w:hAnsi="Palatino Linotype" w:cs="Arial"/>
          <w:bCs/>
        </w:rPr>
        <w:t>°</w:t>
      </w:r>
      <w:r w:rsidR="00C64D70" w:rsidRPr="0052766A">
        <w:rPr>
          <w:rFonts w:ascii="Palatino Linotype" w:hAnsi="Palatino Linotype" w:cs="Arial"/>
          <w:bCs/>
        </w:rPr>
        <w:t xml:space="preserve"> de la Ley de la m</w:t>
      </w:r>
      <w:r w:rsidRPr="0052766A">
        <w:rPr>
          <w:rFonts w:ascii="Palatino Linotype" w:hAnsi="Palatino Linotype" w:cs="Arial"/>
          <w:bCs/>
        </w:rPr>
        <w:t>ateria, t</w:t>
      </w:r>
      <w:r w:rsidRPr="0052766A">
        <w:rPr>
          <w:rFonts w:ascii="Palatino Linotype" w:hAnsi="Palatino Linotype"/>
        </w:rPr>
        <w:t xml:space="preserve">oda vez que el </w:t>
      </w:r>
      <w:r w:rsidRPr="0052766A">
        <w:rPr>
          <w:rFonts w:ascii="Palatino Linotype" w:hAnsi="Palatino Linotype" w:cs="Arial"/>
        </w:rPr>
        <w:t>derecho de acceso a la información se define como la prerrogativa que tiene toda persona para acceder a la información generada, administrada o en</w:t>
      </w:r>
      <w:r w:rsidR="00D016D3" w:rsidRPr="0052766A">
        <w:rPr>
          <w:rFonts w:ascii="Palatino Linotype" w:hAnsi="Palatino Linotype" w:cs="Arial"/>
        </w:rPr>
        <w:t xml:space="preserve"> poder de los</w:t>
      </w:r>
      <w:r w:rsidR="00DE7BE8" w:rsidRPr="0052766A">
        <w:rPr>
          <w:rFonts w:ascii="Palatino Linotype" w:hAnsi="Palatino Linotype" w:cs="Arial"/>
        </w:rPr>
        <w:t xml:space="preserve"> sujetos obligados</w:t>
      </w:r>
      <w:r w:rsidR="00D016D3" w:rsidRPr="0052766A">
        <w:rPr>
          <w:rFonts w:ascii="Palatino Linotype" w:hAnsi="Palatino Linotype" w:cs="Arial"/>
        </w:rPr>
        <w:t xml:space="preserve">, </w:t>
      </w:r>
      <w:r w:rsidRPr="0052766A">
        <w:rPr>
          <w:rFonts w:ascii="Palatino Linotype" w:hAnsi="Palatino Linotype" w:cs="Arial"/>
        </w:rPr>
        <w:t>apegándose en todo momento al principio de máxima publicidad consagrado en la Constitución Política de los Estados Unidos Mexicanos, en la Constitución Política del Estado Libre y Soberano de México y demá</w:t>
      </w:r>
      <w:r w:rsidR="00D016D3" w:rsidRPr="0052766A">
        <w:rPr>
          <w:rFonts w:ascii="Palatino Linotype" w:hAnsi="Palatino Linotype" w:cs="Arial"/>
        </w:rPr>
        <w:t>s relativos y aplicables en la m</w:t>
      </w:r>
      <w:r w:rsidRPr="0052766A">
        <w:rPr>
          <w:rFonts w:ascii="Palatino Linotype" w:hAnsi="Palatino Linotype" w:cs="Arial"/>
        </w:rPr>
        <w:t>ateria</w:t>
      </w:r>
      <w:r w:rsidRPr="0052766A">
        <w:rPr>
          <w:rFonts w:ascii="Palatino Linotype" w:hAnsi="Palatino Linotype"/>
        </w:rPr>
        <w:t xml:space="preserve">, al establecer que toda </w:t>
      </w:r>
      <w:r w:rsidRPr="0052766A">
        <w:rPr>
          <w:rFonts w:ascii="Palatino Linotype" w:hAnsi="Palatino Linotype"/>
        </w:rPr>
        <w:lastRenderedPageBreak/>
        <w:t>información en posesión de cualquier autoridad, entidad, órgano y organismo federal, esta</w:t>
      </w:r>
      <w:r w:rsidR="001833AB" w:rsidRPr="0052766A">
        <w:rPr>
          <w:rFonts w:ascii="Palatino Linotype" w:hAnsi="Palatino Linotype"/>
        </w:rPr>
        <w:t>tal y municipal, es pública y só</w:t>
      </w:r>
      <w:r w:rsidRPr="0052766A">
        <w:rPr>
          <w:rFonts w:ascii="Palatino Linotype" w:hAnsi="Palatino Linotype"/>
        </w:rPr>
        <w:t>lo podrá ser reservada temporalmente por razones de interés público en l</w:t>
      </w:r>
      <w:r w:rsidR="00CB3AEB" w:rsidRPr="0052766A">
        <w:rPr>
          <w:rFonts w:ascii="Palatino Linotype" w:hAnsi="Palatino Linotype"/>
        </w:rPr>
        <w:t xml:space="preserve">os términos que fijen las leyes </w:t>
      </w:r>
      <w:r w:rsidRPr="0052766A">
        <w:rPr>
          <w:rFonts w:ascii="Palatino Linotype" w:hAnsi="Palatino Linotype"/>
        </w:rPr>
        <w:t>y al reconocerse como un derecho fundamental</w:t>
      </w:r>
      <w:r w:rsidR="00CB3AEB" w:rsidRPr="0052766A">
        <w:rPr>
          <w:rFonts w:ascii="Palatino Linotype" w:hAnsi="Palatino Linotype"/>
        </w:rPr>
        <w:t>,</w:t>
      </w:r>
      <w:r w:rsidRPr="0052766A">
        <w:rPr>
          <w:rFonts w:ascii="Palatino Linotype" w:hAnsi="Palatino Linotype"/>
        </w:rPr>
        <w:t xml:space="preserve"> es que todo Sujeto Obligado debe ceñir su actuar a la conservación patrimonial de sus archivos documentales y </w:t>
      </w:r>
      <w:r w:rsidR="001C4C0D" w:rsidRPr="0052766A">
        <w:rPr>
          <w:rFonts w:ascii="Palatino Linotype" w:hAnsi="Palatino Linotype"/>
        </w:rPr>
        <w:t xml:space="preserve">otorgar </w:t>
      </w:r>
      <w:r w:rsidRPr="0052766A">
        <w:rPr>
          <w:rFonts w:ascii="Palatino Linotype" w:hAnsi="Palatino Linotype"/>
        </w:rPr>
        <w:t xml:space="preserve">el acceso </w:t>
      </w:r>
      <w:r w:rsidR="001C4C0D" w:rsidRPr="0052766A">
        <w:rPr>
          <w:rFonts w:ascii="Palatino Linotype" w:hAnsi="Palatino Linotype"/>
        </w:rPr>
        <w:t xml:space="preserve">a </w:t>
      </w:r>
      <w:r w:rsidRPr="0052766A">
        <w:rPr>
          <w:rFonts w:ascii="Palatino Linotype" w:hAnsi="Palatino Linotype"/>
        </w:rPr>
        <w:t>la información pública, buscando la disponibilidad de los mismos.</w:t>
      </w:r>
    </w:p>
    <w:p w:rsidR="001F7B38" w:rsidRPr="00D60A58" w:rsidRDefault="001F7B38" w:rsidP="001F7B38">
      <w:pPr>
        <w:spacing w:after="0" w:line="360" w:lineRule="auto"/>
        <w:contextualSpacing/>
        <w:jc w:val="center"/>
        <w:rPr>
          <w:rFonts w:ascii="Palatino Linotype" w:hAnsi="Palatino Linotype" w:cs="Tahoma"/>
          <w:b/>
          <w:sz w:val="24"/>
          <w:szCs w:val="24"/>
        </w:rPr>
      </w:pPr>
      <w:r w:rsidRPr="00D60A58">
        <w:rPr>
          <w:rFonts w:ascii="Palatino Linotype" w:hAnsi="Palatino Linotype" w:cs="Tahoma"/>
          <w:b/>
          <w:sz w:val="24"/>
          <w:szCs w:val="24"/>
        </w:rPr>
        <w:t>(Rúbrica)</w:t>
      </w:r>
    </w:p>
    <w:p w:rsidR="001F7B38" w:rsidRPr="00D60A58" w:rsidRDefault="001F7B38" w:rsidP="001F7B38">
      <w:pPr>
        <w:spacing w:after="0" w:line="360" w:lineRule="auto"/>
        <w:contextualSpacing/>
        <w:jc w:val="center"/>
        <w:rPr>
          <w:rFonts w:ascii="Palatino Linotype" w:hAnsi="Palatino Linotype" w:cs="Tahoma"/>
          <w:b/>
          <w:sz w:val="24"/>
          <w:szCs w:val="24"/>
        </w:rPr>
      </w:pPr>
      <w:r w:rsidRPr="00D60A58">
        <w:rPr>
          <w:rFonts w:ascii="Palatino Linotype" w:hAnsi="Palatino Linotype" w:cs="Tahoma"/>
          <w:b/>
          <w:sz w:val="24"/>
          <w:szCs w:val="24"/>
        </w:rPr>
        <w:t>Luis Gustavo Parra Noriega</w:t>
      </w:r>
    </w:p>
    <w:p w:rsidR="001F7B38" w:rsidRPr="00D60A58" w:rsidRDefault="001F7B38" w:rsidP="001F7B38">
      <w:pPr>
        <w:spacing w:after="0" w:line="360" w:lineRule="auto"/>
        <w:contextualSpacing/>
        <w:jc w:val="center"/>
        <w:rPr>
          <w:rFonts w:ascii="Palatino Linotype" w:hAnsi="Palatino Linotype" w:cs="Tahoma"/>
          <w:sz w:val="24"/>
          <w:szCs w:val="24"/>
        </w:rPr>
      </w:pPr>
      <w:r w:rsidRPr="00D60A58">
        <w:rPr>
          <w:rFonts w:ascii="Palatino Linotype" w:hAnsi="Palatino Linotype" w:cs="Tahoma"/>
          <w:sz w:val="24"/>
          <w:szCs w:val="24"/>
        </w:rPr>
        <w:t>Comisionado</w:t>
      </w:r>
    </w:p>
    <w:p w:rsidR="00BD3823" w:rsidRPr="0052766A" w:rsidRDefault="00BD3823" w:rsidP="001F7B38">
      <w:pPr>
        <w:spacing w:line="360" w:lineRule="auto"/>
        <w:contextualSpacing/>
        <w:jc w:val="center"/>
        <w:rPr>
          <w:rFonts w:ascii="Palatino Linotype" w:hAnsi="Palatino Linotype"/>
          <w:b/>
        </w:rPr>
      </w:pPr>
    </w:p>
    <w:sectPr w:rsidR="00BD3823" w:rsidRPr="0052766A" w:rsidSect="001F7B38">
      <w:headerReference w:type="even" r:id="rId8"/>
      <w:headerReference w:type="default" r:id="rId9"/>
      <w:footerReference w:type="default" r:id="rId10"/>
      <w:pgSz w:w="12240" w:h="15840"/>
      <w:pgMar w:top="926" w:right="1418" w:bottom="1418" w:left="1701" w:header="709" w:footer="5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0F04" w:rsidRDefault="00ED0F04" w:rsidP="00907451">
      <w:pPr>
        <w:spacing w:after="0" w:line="240" w:lineRule="auto"/>
      </w:pPr>
      <w:r>
        <w:separator/>
      </w:r>
    </w:p>
  </w:endnote>
  <w:endnote w:type="continuationSeparator" w:id="0">
    <w:p w:rsidR="00ED0F04" w:rsidRDefault="00ED0F04" w:rsidP="00907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307" w:rsidRPr="00986599" w:rsidRDefault="007F0307" w:rsidP="007F0307">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E95044">
      <w:rPr>
        <w:rFonts w:ascii="Arial" w:hAnsi="Arial" w:cs="Arial"/>
        <w:b/>
        <w:bCs/>
        <w:noProof/>
        <w:sz w:val="20"/>
        <w:szCs w:val="20"/>
      </w:rPr>
      <w:t>6</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E95044">
      <w:rPr>
        <w:rFonts w:ascii="Arial" w:hAnsi="Arial" w:cs="Arial"/>
        <w:b/>
        <w:bCs/>
        <w:noProof/>
        <w:sz w:val="20"/>
        <w:szCs w:val="20"/>
      </w:rPr>
      <w:t>6</w:t>
    </w:r>
    <w:r w:rsidRPr="00986599">
      <w:rPr>
        <w:rFonts w:ascii="Arial" w:hAnsi="Arial" w:cs="Arial"/>
        <w:b/>
        <w:bCs/>
        <w:sz w:val="20"/>
        <w:szCs w:val="20"/>
      </w:rPr>
      <w:fldChar w:fldCharType="end"/>
    </w:r>
  </w:p>
  <w:p w:rsidR="007F0307" w:rsidRDefault="007F0307" w:rsidP="007F0307">
    <w:pPr>
      <w:pStyle w:val="Piedepgina"/>
      <w:jc w:val="right"/>
    </w:pPr>
  </w:p>
  <w:p w:rsidR="003A7B43" w:rsidRDefault="003A7B43"/>
  <w:p w:rsidR="003A7B43" w:rsidRDefault="003A7B4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0F04" w:rsidRDefault="00ED0F04" w:rsidP="00907451">
      <w:pPr>
        <w:spacing w:after="0" w:line="240" w:lineRule="auto"/>
      </w:pPr>
      <w:r>
        <w:separator/>
      </w:r>
    </w:p>
  </w:footnote>
  <w:footnote w:type="continuationSeparator" w:id="0">
    <w:p w:rsidR="00ED0F04" w:rsidRDefault="00ED0F04" w:rsidP="009074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307" w:rsidRDefault="007F0307">
    <w:pPr>
      <w:pStyle w:val="Encabezado"/>
    </w:pPr>
    <w:r>
      <w:rPr>
        <w:noProof/>
        <w:lang w:val="es-MX" w:eastAsia="es-MX"/>
      </w:rPr>
      <mc:AlternateContent>
        <mc:Choice Requires="wps">
          <w:drawing>
            <wp:anchor distT="0" distB="0" distL="114300" distR="114300" simplePos="0" relativeHeight="251656704" behindDoc="1" locked="0" layoutInCell="0" allowOverlap="1" wp14:anchorId="418310CF" wp14:editId="5C28A320">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F0307" w:rsidRDefault="007F0307" w:rsidP="007F030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18310CF"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7F0307" w:rsidRDefault="007F0307" w:rsidP="007F030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p w:rsidR="003A7B43" w:rsidRDefault="003A7B43"/>
  <w:p w:rsidR="003A7B43" w:rsidRDefault="003A7B4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6521"/>
    </w:tblGrid>
    <w:tr w:rsidR="00282741" w:rsidRPr="003E102C" w:rsidTr="001F7B38">
      <w:trPr>
        <w:trHeight w:val="1832"/>
      </w:trPr>
      <w:tc>
        <w:tcPr>
          <w:tcW w:w="2835" w:type="dxa"/>
          <w:vAlign w:val="bottom"/>
        </w:tcPr>
        <w:p w:rsidR="00282741" w:rsidRDefault="00282741" w:rsidP="00282741">
          <w:pPr>
            <w:pStyle w:val="Encabezado"/>
            <w:tabs>
              <w:tab w:val="center" w:pos="2614"/>
            </w:tabs>
            <w:ind w:left="-255"/>
          </w:pPr>
          <w:r>
            <w:rPr>
              <w:noProof/>
              <w:sz w:val="10"/>
              <w:szCs w:val="10"/>
              <w:lang w:val="es-MX" w:eastAsia="es-MX"/>
            </w:rPr>
            <w:drawing>
              <wp:inline distT="0" distB="0" distL="0" distR="0" wp14:anchorId="27E433E0" wp14:editId="78A6E70C">
                <wp:extent cx="1873633" cy="112654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0616" cy="1160801"/>
                        </a:xfrm>
                        <a:prstGeom prst="rect">
                          <a:avLst/>
                        </a:prstGeom>
                      </pic:spPr>
                    </pic:pic>
                  </a:graphicData>
                </a:graphic>
              </wp:inline>
            </w:drawing>
          </w:r>
        </w:p>
        <w:p w:rsidR="00282741" w:rsidRDefault="00282741" w:rsidP="00282741">
          <w:pPr>
            <w:pStyle w:val="Encabezado"/>
            <w:tabs>
              <w:tab w:val="center" w:pos="2614"/>
            </w:tabs>
          </w:pPr>
        </w:p>
      </w:tc>
      <w:tc>
        <w:tcPr>
          <w:tcW w:w="6521" w:type="dxa"/>
          <w:vAlign w:val="center"/>
        </w:tcPr>
        <w:p w:rsidR="00282741" w:rsidRPr="003E102C" w:rsidRDefault="00282741" w:rsidP="00282741">
          <w:pPr>
            <w:pStyle w:val="Encabezado"/>
            <w:ind w:left="-108" w:right="-250"/>
            <w:jc w:val="both"/>
            <w:rPr>
              <w:rFonts w:ascii="Palatino Linotype" w:hAnsi="Palatino Linotype" w:cs="Tahoma"/>
              <w:b/>
            </w:rPr>
          </w:pPr>
          <w:r>
            <w:rPr>
              <w:rFonts w:ascii="Palatino Linotype" w:hAnsi="Palatino Linotype" w:cs="Tahoma"/>
              <w:b/>
            </w:rPr>
            <w:t xml:space="preserve">Voto </w:t>
          </w:r>
          <w:r w:rsidRPr="003E102C">
            <w:rPr>
              <w:rFonts w:ascii="Palatino Linotype" w:hAnsi="Palatino Linotype" w:cs="Tahoma"/>
              <w:b/>
            </w:rPr>
            <w:t>Particular</w:t>
          </w:r>
        </w:p>
        <w:p w:rsidR="00A072DB" w:rsidRDefault="00282741" w:rsidP="00A072DB">
          <w:pPr>
            <w:pStyle w:val="Encabezado"/>
            <w:ind w:left="-108" w:right="-250"/>
            <w:jc w:val="both"/>
            <w:rPr>
              <w:rFonts w:ascii="Palatino Linotype" w:hAnsi="Palatino Linotype" w:cs="Tahoma"/>
              <w:b/>
            </w:rPr>
          </w:pPr>
          <w:r w:rsidRPr="003E102C">
            <w:rPr>
              <w:rFonts w:ascii="Palatino Linotype" w:hAnsi="Palatino Linotype" w:cs="Tahoma"/>
              <w:b/>
            </w:rPr>
            <w:t xml:space="preserve">Recurso de Revisión: </w:t>
          </w:r>
          <w:r w:rsidRPr="00460ED0">
            <w:rPr>
              <w:rFonts w:ascii="Palatino Linotype" w:hAnsi="Palatino Linotype" w:cs="Tahoma"/>
              <w:b/>
            </w:rPr>
            <w:t>0</w:t>
          </w:r>
          <w:r>
            <w:rPr>
              <w:rFonts w:ascii="Palatino Linotype" w:hAnsi="Palatino Linotype" w:cs="Tahoma"/>
              <w:b/>
            </w:rPr>
            <w:t>02</w:t>
          </w:r>
          <w:r w:rsidR="00A072DB">
            <w:rPr>
              <w:rFonts w:ascii="Palatino Linotype" w:hAnsi="Palatino Linotype" w:cs="Tahoma"/>
              <w:b/>
            </w:rPr>
            <w:t>52</w:t>
          </w:r>
          <w:r>
            <w:rPr>
              <w:rFonts w:ascii="Palatino Linotype" w:hAnsi="Palatino Linotype" w:cs="Tahoma"/>
              <w:b/>
            </w:rPr>
            <w:t>/INFOEM/IP/RR/2019</w:t>
          </w:r>
          <w:r w:rsidR="00A072DB">
            <w:rPr>
              <w:rFonts w:ascii="Palatino Linotype" w:hAnsi="Palatino Linotype" w:cs="Tahoma"/>
              <w:b/>
            </w:rPr>
            <w:t xml:space="preserve"> y acumulados</w:t>
          </w:r>
        </w:p>
        <w:p w:rsidR="00282741" w:rsidRPr="00EA5189" w:rsidRDefault="00282741" w:rsidP="00A072DB">
          <w:pPr>
            <w:pStyle w:val="Encabezado"/>
            <w:ind w:left="-108" w:right="-250"/>
            <w:jc w:val="both"/>
            <w:rPr>
              <w:rFonts w:ascii="Palatino Linotype" w:hAnsi="Palatino Linotype" w:cs="Tahoma"/>
              <w:b/>
            </w:rPr>
          </w:pPr>
          <w:r>
            <w:rPr>
              <w:rFonts w:ascii="Palatino Linotype" w:hAnsi="Palatino Linotype" w:cs="Tahoma"/>
              <w:b/>
            </w:rPr>
            <w:t xml:space="preserve">Comisionada Ponente: </w:t>
          </w:r>
          <w:r w:rsidR="00A072DB" w:rsidRPr="00A072DB">
            <w:rPr>
              <w:rFonts w:ascii="Palatino Linotype" w:hAnsi="Palatino Linotype" w:cs="Tahoma"/>
              <w:b/>
            </w:rPr>
            <w:t>Eva Abaid Yapur</w:t>
          </w:r>
        </w:p>
      </w:tc>
    </w:tr>
  </w:tbl>
  <w:p w:rsidR="007F0307" w:rsidRDefault="007F0307" w:rsidP="001F7B38">
    <w:pPr>
      <w:pStyle w:val="Encabezado"/>
      <w:rPr>
        <w:rFonts w:ascii="Arial" w:hAnsi="Arial"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A924CB"/>
    <w:multiLevelType w:val="hybridMultilevel"/>
    <w:tmpl w:val="51605F6A"/>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20A91E3B"/>
    <w:multiLevelType w:val="hybridMultilevel"/>
    <w:tmpl w:val="87540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F4119CE"/>
    <w:multiLevelType w:val="hybridMultilevel"/>
    <w:tmpl w:val="24E0E880"/>
    <w:lvl w:ilvl="0" w:tplc="A1FCC5F6">
      <w:start w:val="1"/>
      <w:numFmt w:val="decimal"/>
      <w:lvlText w:val="%1."/>
      <w:lvlJc w:val="left"/>
      <w:pPr>
        <w:ind w:left="720" w:hanging="360"/>
      </w:pPr>
      <w:rPr>
        <w:rFonts w:eastAsia="Calibri"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61C54D4"/>
    <w:multiLevelType w:val="hybridMultilevel"/>
    <w:tmpl w:val="9BE2A540"/>
    <w:lvl w:ilvl="0" w:tplc="6046E4A8">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ED8417C"/>
    <w:multiLevelType w:val="hybridMultilevel"/>
    <w:tmpl w:val="CB2CFD7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0292F48"/>
    <w:multiLevelType w:val="hybridMultilevel"/>
    <w:tmpl w:val="12E641AE"/>
    <w:lvl w:ilvl="0" w:tplc="263AFFD0">
      <w:start w:val="1"/>
      <w:numFmt w:val="lowerLetter"/>
      <w:lvlText w:val="%1)"/>
      <w:lvlJc w:val="left"/>
      <w:pPr>
        <w:ind w:left="1431" w:hanging="360"/>
      </w:pPr>
      <w:rPr>
        <w:rFonts w:hint="default"/>
        <w:b/>
      </w:rPr>
    </w:lvl>
    <w:lvl w:ilvl="1" w:tplc="080A0019" w:tentative="1">
      <w:start w:val="1"/>
      <w:numFmt w:val="lowerLetter"/>
      <w:lvlText w:val="%2."/>
      <w:lvlJc w:val="left"/>
      <w:pPr>
        <w:ind w:left="2151" w:hanging="360"/>
      </w:pPr>
    </w:lvl>
    <w:lvl w:ilvl="2" w:tplc="080A001B" w:tentative="1">
      <w:start w:val="1"/>
      <w:numFmt w:val="lowerRoman"/>
      <w:lvlText w:val="%3."/>
      <w:lvlJc w:val="right"/>
      <w:pPr>
        <w:ind w:left="2871" w:hanging="180"/>
      </w:pPr>
    </w:lvl>
    <w:lvl w:ilvl="3" w:tplc="080A000F" w:tentative="1">
      <w:start w:val="1"/>
      <w:numFmt w:val="decimal"/>
      <w:lvlText w:val="%4."/>
      <w:lvlJc w:val="left"/>
      <w:pPr>
        <w:ind w:left="3591" w:hanging="360"/>
      </w:pPr>
    </w:lvl>
    <w:lvl w:ilvl="4" w:tplc="080A0019" w:tentative="1">
      <w:start w:val="1"/>
      <w:numFmt w:val="lowerLetter"/>
      <w:lvlText w:val="%5."/>
      <w:lvlJc w:val="left"/>
      <w:pPr>
        <w:ind w:left="4311" w:hanging="360"/>
      </w:pPr>
    </w:lvl>
    <w:lvl w:ilvl="5" w:tplc="080A001B" w:tentative="1">
      <w:start w:val="1"/>
      <w:numFmt w:val="lowerRoman"/>
      <w:lvlText w:val="%6."/>
      <w:lvlJc w:val="right"/>
      <w:pPr>
        <w:ind w:left="5031" w:hanging="180"/>
      </w:pPr>
    </w:lvl>
    <w:lvl w:ilvl="6" w:tplc="080A000F" w:tentative="1">
      <w:start w:val="1"/>
      <w:numFmt w:val="decimal"/>
      <w:lvlText w:val="%7."/>
      <w:lvlJc w:val="left"/>
      <w:pPr>
        <w:ind w:left="5751" w:hanging="360"/>
      </w:pPr>
    </w:lvl>
    <w:lvl w:ilvl="7" w:tplc="080A0019" w:tentative="1">
      <w:start w:val="1"/>
      <w:numFmt w:val="lowerLetter"/>
      <w:lvlText w:val="%8."/>
      <w:lvlJc w:val="left"/>
      <w:pPr>
        <w:ind w:left="6471" w:hanging="360"/>
      </w:pPr>
    </w:lvl>
    <w:lvl w:ilvl="8" w:tplc="080A001B" w:tentative="1">
      <w:start w:val="1"/>
      <w:numFmt w:val="lowerRoman"/>
      <w:lvlText w:val="%9."/>
      <w:lvlJc w:val="right"/>
      <w:pPr>
        <w:ind w:left="7191" w:hanging="180"/>
      </w:pPr>
    </w:lvl>
  </w:abstractNum>
  <w:abstractNum w:abstractNumId="6" w15:restartNumberingAfterBreak="0">
    <w:nsid w:val="77166AC6"/>
    <w:multiLevelType w:val="hybridMultilevel"/>
    <w:tmpl w:val="057812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9A92E36"/>
    <w:multiLevelType w:val="hybridMultilevel"/>
    <w:tmpl w:val="73BC82A0"/>
    <w:lvl w:ilvl="0" w:tplc="AE6CF094">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3"/>
  </w:num>
  <w:num w:numId="2">
    <w:abstractNumId w:val="5"/>
  </w:num>
  <w:num w:numId="3">
    <w:abstractNumId w:val="4"/>
  </w:num>
  <w:num w:numId="4">
    <w:abstractNumId w:val="7"/>
  </w:num>
  <w:num w:numId="5">
    <w:abstractNumId w:val="0"/>
  </w:num>
  <w:num w:numId="6">
    <w:abstractNumId w:val="1"/>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7BA"/>
    <w:rsid w:val="00000F7F"/>
    <w:rsid w:val="00003415"/>
    <w:rsid w:val="00003CE8"/>
    <w:rsid w:val="00012664"/>
    <w:rsid w:val="000128A8"/>
    <w:rsid w:val="00012E0B"/>
    <w:rsid w:val="00037BC1"/>
    <w:rsid w:val="000408A4"/>
    <w:rsid w:val="00042A3C"/>
    <w:rsid w:val="00043C5D"/>
    <w:rsid w:val="00051C17"/>
    <w:rsid w:val="00054A97"/>
    <w:rsid w:val="00057319"/>
    <w:rsid w:val="000607BA"/>
    <w:rsid w:val="000615FF"/>
    <w:rsid w:val="00065EED"/>
    <w:rsid w:val="00067737"/>
    <w:rsid w:val="00071236"/>
    <w:rsid w:val="000776CE"/>
    <w:rsid w:val="000779DE"/>
    <w:rsid w:val="0008362F"/>
    <w:rsid w:val="00085B55"/>
    <w:rsid w:val="0009644F"/>
    <w:rsid w:val="000A199A"/>
    <w:rsid w:val="000A1CD3"/>
    <w:rsid w:val="000A496D"/>
    <w:rsid w:val="000D5992"/>
    <w:rsid w:val="000E1145"/>
    <w:rsid w:val="000E3ABF"/>
    <w:rsid w:val="000E4C81"/>
    <w:rsid w:val="000E588D"/>
    <w:rsid w:val="000E65A7"/>
    <w:rsid w:val="000E68E0"/>
    <w:rsid w:val="000F5EB6"/>
    <w:rsid w:val="001013D1"/>
    <w:rsid w:val="00112814"/>
    <w:rsid w:val="00112D13"/>
    <w:rsid w:val="001235DC"/>
    <w:rsid w:val="001363F6"/>
    <w:rsid w:val="0014193E"/>
    <w:rsid w:val="001455F9"/>
    <w:rsid w:val="00145D59"/>
    <w:rsid w:val="00153A3F"/>
    <w:rsid w:val="00155046"/>
    <w:rsid w:val="0015586F"/>
    <w:rsid w:val="00164C93"/>
    <w:rsid w:val="00165971"/>
    <w:rsid w:val="00170FF9"/>
    <w:rsid w:val="00172F76"/>
    <w:rsid w:val="001822F4"/>
    <w:rsid w:val="001833AB"/>
    <w:rsid w:val="001858A4"/>
    <w:rsid w:val="001A6A2D"/>
    <w:rsid w:val="001A7C78"/>
    <w:rsid w:val="001B1F85"/>
    <w:rsid w:val="001C4652"/>
    <w:rsid w:val="001C4C0D"/>
    <w:rsid w:val="001C6C98"/>
    <w:rsid w:val="001D5D9B"/>
    <w:rsid w:val="001D7256"/>
    <w:rsid w:val="001E169C"/>
    <w:rsid w:val="001E3B4A"/>
    <w:rsid w:val="001F02F2"/>
    <w:rsid w:val="001F7B38"/>
    <w:rsid w:val="002029D7"/>
    <w:rsid w:val="002073F9"/>
    <w:rsid w:val="0021233A"/>
    <w:rsid w:val="00212E59"/>
    <w:rsid w:val="00215353"/>
    <w:rsid w:val="00222385"/>
    <w:rsid w:val="002243CB"/>
    <w:rsid w:val="00232C29"/>
    <w:rsid w:val="00235BA8"/>
    <w:rsid w:val="00250084"/>
    <w:rsid w:val="0025033B"/>
    <w:rsid w:val="00253645"/>
    <w:rsid w:val="00255951"/>
    <w:rsid w:val="002618A9"/>
    <w:rsid w:val="002814FD"/>
    <w:rsid w:val="00282741"/>
    <w:rsid w:val="002839ED"/>
    <w:rsid w:val="00286E04"/>
    <w:rsid w:val="00290EE4"/>
    <w:rsid w:val="00292D40"/>
    <w:rsid w:val="002A066C"/>
    <w:rsid w:val="002A279D"/>
    <w:rsid w:val="002A46BE"/>
    <w:rsid w:val="002A58A9"/>
    <w:rsid w:val="002A5ADD"/>
    <w:rsid w:val="002A6104"/>
    <w:rsid w:val="002A6359"/>
    <w:rsid w:val="002A6FB8"/>
    <w:rsid w:val="002B211C"/>
    <w:rsid w:val="002B27FB"/>
    <w:rsid w:val="002B287A"/>
    <w:rsid w:val="002B593D"/>
    <w:rsid w:val="002B7481"/>
    <w:rsid w:val="002C2227"/>
    <w:rsid w:val="002C452B"/>
    <w:rsid w:val="002E57B3"/>
    <w:rsid w:val="00302DEC"/>
    <w:rsid w:val="00316B10"/>
    <w:rsid w:val="003277EB"/>
    <w:rsid w:val="00334867"/>
    <w:rsid w:val="00334A53"/>
    <w:rsid w:val="00337419"/>
    <w:rsid w:val="00342485"/>
    <w:rsid w:val="00345DBD"/>
    <w:rsid w:val="00347C52"/>
    <w:rsid w:val="00350A00"/>
    <w:rsid w:val="0035774D"/>
    <w:rsid w:val="0036408D"/>
    <w:rsid w:val="003707EB"/>
    <w:rsid w:val="00377A63"/>
    <w:rsid w:val="00386268"/>
    <w:rsid w:val="0038757F"/>
    <w:rsid w:val="00390D90"/>
    <w:rsid w:val="00394A51"/>
    <w:rsid w:val="003A11C1"/>
    <w:rsid w:val="003A2FA3"/>
    <w:rsid w:val="003A62A7"/>
    <w:rsid w:val="003A795B"/>
    <w:rsid w:val="003A7B43"/>
    <w:rsid w:val="003B33CF"/>
    <w:rsid w:val="003B5CC9"/>
    <w:rsid w:val="003F2744"/>
    <w:rsid w:val="00406CA5"/>
    <w:rsid w:val="00415D0E"/>
    <w:rsid w:val="0041755E"/>
    <w:rsid w:val="00420C88"/>
    <w:rsid w:val="00423EF9"/>
    <w:rsid w:val="00427A46"/>
    <w:rsid w:val="0043178E"/>
    <w:rsid w:val="004333A7"/>
    <w:rsid w:val="00433D38"/>
    <w:rsid w:val="00434A13"/>
    <w:rsid w:val="00437C12"/>
    <w:rsid w:val="004413CB"/>
    <w:rsid w:val="0044539C"/>
    <w:rsid w:val="00447044"/>
    <w:rsid w:val="00455E38"/>
    <w:rsid w:val="00456467"/>
    <w:rsid w:val="00460287"/>
    <w:rsid w:val="004653B1"/>
    <w:rsid w:val="004802D1"/>
    <w:rsid w:val="00485ADE"/>
    <w:rsid w:val="004967C2"/>
    <w:rsid w:val="004A7024"/>
    <w:rsid w:val="004A749E"/>
    <w:rsid w:val="004C07CA"/>
    <w:rsid w:val="004C39D6"/>
    <w:rsid w:val="004D5A8F"/>
    <w:rsid w:val="004E721D"/>
    <w:rsid w:val="004F3213"/>
    <w:rsid w:val="004F5134"/>
    <w:rsid w:val="00500CC7"/>
    <w:rsid w:val="005012F9"/>
    <w:rsid w:val="005017F3"/>
    <w:rsid w:val="00503956"/>
    <w:rsid w:val="00505F5A"/>
    <w:rsid w:val="00513572"/>
    <w:rsid w:val="00515B24"/>
    <w:rsid w:val="005208B7"/>
    <w:rsid w:val="00525E46"/>
    <w:rsid w:val="0052766A"/>
    <w:rsid w:val="00541636"/>
    <w:rsid w:val="00541970"/>
    <w:rsid w:val="0054431B"/>
    <w:rsid w:val="00544E68"/>
    <w:rsid w:val="00551B01"/>
    <w:rsid w:val="005549ED"/>
    <w:rsid w:val="005702E5"/>
    <w:rsid w:val="00570D88"/>
    <w:rsid w:val="00574532"/>
    <w:rsid w:val="00575F81"/>
    <w:rsid w:val="005764B7"/>
    <w:rsid w:val="005777C1"/>
    <w:rsid w:val="00583657"/>
    <w:rsid w:val="0059378F"/>
    <w:rsid w:val="00597077"/>
    <w:rsid w:val="005A11AE"/>
    <w:rsid w:val="005A18DD"/>
    <w:rsid w:val="005A223C"/>
    <w:rsid w:val="005A5EBF"/>
    <w:rsid w:val="005B0B13"/>
    <w:rsid w:val="005C2E6D"/>
    <w:rsid w:val="005C74A9"/>
    <w:rsid w:val="005D066B"/>
    <w:rsid w:val="005D0E4E"/>
    <w:rsid w:val="005D190F"/>
    <w:rsid w:val="005E0BCA"/>
    <w:rsid w:val="005E608D"/>
    <w:rsid w:val="005E6134"/>
    <w:rsid w:val="005E7F58"/>
    <w:rsid w:val="005F4C0C"/>
    <w:rsid w:val="005F5C11"/>
    <w:rsid w:val="00601DA4"/>
    <w:rsid w:val="00602C7A"/>
    <w:rsid w:val="006214D7"/>
    <w:rsid w:val="00625413"/>
    <w:rsid w:val="006424B6"/>
    <w:rsid w:val="00642FEF"/>
    <w:rsid w:val="00664E38"/>
    <w:rsid w:val="00675C15"/>
    <w:rsid w:val="006776AE"/>
    <w:rsid w:val="006803F6"/>
    <w:rsid w:val="006812F1"/>
    <w:rsid w:val="0068138D"/>
    <w:rsid w:val="0068453F"/>
    <w:rsid w:val="00687FF1"/>
    <w:rsid w:val="006A46F0"/>
    <w:rsid w:val="006A6AF4"/>
    <w:rsid w:val="006B10B8"/>
    <w:rsid w:val="006B4511"/>
    <w:rsid w:val="006C048C"/>
    <w:rsid w:val="006C34A1"/>
    <w:rsid w:val="006D6BAA"/>
    <w:rsid w:val="006E048C"/>
    <w:rsid w:val="006E64D7"/>
    <w:rsid w:val="006E7F49"/>
    <w:rsid w:val="006F1A1E"/>
    <w:rsid w:val="006F346D"/>
    <w:rsid w:val="00700E4D"/>
    <w:rsid w:val="007046AB"/>
    <w:rsid w:val="007053A8"/>
    <w:rsid w:val="007119EA"/>
    <w:rsid w:val="0072288B"/>
    <w:rsid w:val="00733946"/>
    <w:rsid w:val="00737BBE"/>
    <w:rsid w:val="00741B33"/>
    <w:rsid w:val="00750FE1"/>
    <w:rsid w:val="007514DF"/>
    <w:rsid w:val="0075591F"/>
    <w:rsid w:val="0075778C"/>
    <w:rsid w:val="0077072F"/>
    <w:rsid w:val="00787C47"/>
    <w:rsid w:val="0079066A"/>
    <w:rsid w:val="00790EBC"/>
    <w:rsid w:val="00791327"/>
    <w:rsid w:val="00792AC3"/>
    <w:rsid w:val="007942DE"/>
    <w:rsid w:val="007947D4"/>
    <w:rsid w:val="007959DD"/>
    <w:rsid w:val="00797AD9"/>
    <w:rsid w:val="007A0BD4"/>
    <w:rsid w:val="007A0DE4"/>
    <w:rsid w:val="007A0EDD"/>
    <w:rsid w:val="007A23EB"/>
    <w:rsid w:val="007B6EE5"/>
    <w:rsid w:val="007C0906"/>
    <w:rsid w:val="007C0F6E"/>
    <w:rsid w:val="007C56B2"/>
    <w:rsid w:val="007C6C71"/>
    <w:rsid w:val="007E4684"/>
    <w:rsid w:val="007E6322"/>
    <w:rsid w:val="007E79CA"/>
    <w:rsid w:val="007F0307"/>
    <w:rsid w:val="00807896"/>
    <w:rsid w:val="00807B02"/>
    <w:rsid w:val="00812BA8"/>
    <w:rsid w:val="00817AA2"/>
    <w:rsid w:val="00824149"/>
    <w:rsid w:val="0082523E"/>
    <w:rsid w:val="00825FB4"/>
    <w:rsid w:val="0084099F"/>
    <w:rsid w:val="00855FCC"/>
    <w:rsid w:val="008612B2"/>
    <w:rsid w:val="0086476F"/>
    <w:rsid w:val="00871E3F"/>
    <w:rsid w:val="00874A70"/>
    <w:rsid w:val="0087565F"/>
    <w:rsid w:val="00883ABB"/>
    <w:rsid w:val="00887103"/>
    <w:rsid w:val="00892DF4"/>
    <w:rsid w:val="00895041"/>
    <w:rsid w:val="00897E24"/>
    <w:rsid w:val="008A4206"/>
    <w:rsid w:val="008B2413"/>
    <w:rsid w:val="008C6097"/>
    <w:rsid w:val="008C6673"/>
    <w:rsid w:val="008D108C"/>
    <w:rsid w:val="008E2933"/>
    <w:rsid w:val="008E3980"/>
    <w:rsid w:val="008E3E2C"/>
    <w:rsid w:val="008E5E16"/>
    <w:rsid w:val="008F1DDB"/>
    <w:rsid w:val="008F24F5"/>
    <w:rsid w:val="00902BEC"/>
    <w:rsid w:val="00907451"/>
    <w:rsid w:val="00921613"/>
    <w:rsid w:val="00922792"/>
    <w:rsid w:val="00935EDE"/>
    <w:rsid w:val="00943ECF"/>
    <w:rsid w:val="009530AD"/>
    <w:rsid w:val="009549EF"/>
    <w:rsid w:val="00956FEF"/>
    <w:rsid w:val="009611D3"/>
    <w:rsid w:val="00962155"/>
    <w:rsid w:val="00966EC6"/>
    <w:rsid w:val="00971811"/>
    <w:rsid w:val="0097337C"/>
    <w:rsid w:val="009851E0"/>
    <w:rsid w:val="0098525D"/>
    <w:rsid w:val="0098633B"/>
    <w:rsid w:val="00991D2C"/>
    <w:rsid w:val="0099283C"/>
    <w:rsid w:val="009974A8"/>
    <w:rsid w:val="009A1E66"/>
    <w:rsid w:val="009A3AFC"/>
    <w:rsid w:val="009A4C82"/>
    <w:rsid w:val="009A5DD7"/>
    <w:rsid w:val="009B0AA8"/>
    <w:rsid w:val="009B77B1"/>
    <w:rsid w:val="009B7800"/>
    <w:rsid w:val="009C4FFE"/>
    <w:rsid w:val="009C6D4B"/>
    <w:rsid w:val="009D3F5D"/>
    <w:rsid w:val="009D4A3C"/>
    <w:rsid w:val="009D631C"/>
    <w:rsid w:val="009F1218"/>
    <w:rsid w:val="009F4EB8"/>
    <w:rsid w:val="009F66DE"/>
    <w:rsid w:val="00A01E1E"/>
    <w:rsid w:val="00A072DB"/>
    <w:rsid w:val="00A07925"/>
    <w:rsid w:val="00A1161D"/>
    <w:rsid w:val="00A11E04"/>
    <w:rsid w:val="00A16E1D"/>
    <w:rsid w:val="00A21005"/>
    <w:rsid w:val="00A2316F"/>
    <w:rsid w:val="00A26E2B"/>
    <w:rsid w:val="00A3060F"/>
    <w:rsid w:val="00A35FCC"/>
    <w:rsid w:val="00A50EE2"/>
    <w:rsid w:val="00A55B9D"/>
    <w:rsid w:val="00A61CE9"/>
    <w:rsid w:val="00A63576"/>
    <w:rsid w:val="00A73443"/>
    <w:rsid w:val="00A74171"/>
    <w:rsid w:val="00A83FF4"/>
    <w:rsid w:val="00A96272"/>
    <w:rsid w:val="00AA1E2A"/>
    <w:rsid w:val="00AA53B5"/>
    <w:rsid w:val="00AA5B7B"/>
    <w:rsid w:val="00AA5FEA"/>
    <w:rsid w:val="00AC0126"/>
    <w:rsid w:val="00AC5703"/>
    <w:rsid w:val="00AC769A"/>
    <w:rsid w:val="00AD0389"/>
    <w:rsid w:val="00AD0BC9"/>
    <w:rsid w:val="00AD1185"/>
    <w:rsid w:val="00AD2094"/>
    <w:rsid w:val="00AE2A77"/>
    <w:rsid w:val="00AE64AC"/>
    <w:rsid w:val="00AF2BB2"/>
    <w:rsid w:val="00B02DEB"/>
    <w:rsid w:val="00B061A2"/>
    <w:rsid w:val="00B1469E"/>
    <w:rsid w:val="00B15229"/>
    <w:rsid w:val="00B16A59"/>
    <w:rsid w:val="00B2149E"/>
    <w:rsid w:val="00B26002"/>
    <w:rsid w:val="00B32BBD"/>
    <w:rsid w:val="00B32D33"/>
    <w:rsid w:val="00B365EB"/>
    <w:rsid w:val="00B42B2C"/>
    <w:rsid w:val="00B42E5B"/>
    <w:rsid w:val="00B45846"/>
    <w:rsid w:val="00B46543"/>
    <w:rsid w:val="00B51880"/>
    <w:rsid w:val="00B5384A"/>
    <w:rsid w:val="00B547F4"/>
    <w:rsid w:val="00B60059"/>
    <w:rsid w:val="00B62F6E"/>
    <w:rsid w:val="00B63363"/>
    <w:rsid w:val="00B64C32"/>
    <w:rsid w:val="00B71BFC"/>
    <w:rsid w:val="00B74B7A"/>
    <w:rsid w:val="00B74B82"/>
    <w:rsid w:val="00B75F92"/>
    <w:rsid w:val="00B80C9C"/>
    <w:rsid w:val="00B87AB3"/>
    <w:rsid w:val="00B929CF"/>
    <w:rsid w:val="00B95ED4"/>
    <w:rsid w:val="00B97069"/>
    <w:rsid w:val="00B976C5"/>
    <w:rsid w:val="00BA6922"/>
    <w:rsid w:val="00BA7B0D"/>
    <w:rsid w:val="00BB1B83"/>
    <w:rsid w:val="00BB488A"/>
    <w:rsid w:val="00BB7D8E"/>
    <w:rsid w:val="00BC661B"/>
    <w:rsid w:val="00BD3823"/>
    <w:rsid w:val="00BD520A"/>
    <w:rsid w:val="00BD5E0B"/>
    <w:rsid w:val="00BD7B4B"/>
    <w:rsid w:val="00BE1582"/>
    <w:rsid w:val="00BE4436"/>
    <w:rsid w:val="00BE6B5D"/>
    <w:rsid w:val="00BF0B33"/>
    <w:rsid w:val="00BF7288"/>
    <w:rsid w:val="00C01565"/>
    <w:rsid w:val="00C0344C"/>
    <w:rsid w:val="00C11623"/>
    <w:rsid w:val="00C14F42"/>
    <w:rsid w:val="00C26DAC"/>
    <w:rsid w:val="00C44E15"/>
    <w:rsid w:val="00C465A1"/>
    <w:rsid w:val="00C46764"/>
    <w:rsid w:val="00C5358D"/>
    <w:rsid w:val="00C64D70"/>
    <w:rsid w:val="00C65338"/>
    <w:rsid w:val="00C810D7"/>
    <w:rsid w:val="00C84509"/>
    <w:rsid w:val="00C84C72"/>
    <w:rsid w:val="00C86256"/>
    <w:rsid w:val="00C8733B"/>
    <w:rsid w:val="00CA7E34"/>
    <w:rsid w:val="00CB1CEB"/>
    <w:rsid w:val="00CB3AEB"/>
    <w:rsid w:val="00CB795D"/>
    <w:rsid w:val="00CC1FFA"/>
    <w:rsid w:val="00CC34B2"/>
    <w:rsid w:val="00CC5CDC"/>
    <w:rsid w:val="00CD27D3"/>
    <w:rsid w:val="00CD457B"/>
    <w:rsid w:val="00CE45F1"/>
    <w:rsid w:val="00CF1446"/>
    <w:rsid w:val="00CF29D2"/>
    <w:rsid w:val="00D016D3"/>
    <w:rsid w:val="00D01AF4"/>
    <w:rsid w:val="00D04C63"/>
    <w:rsid w:val="00D06F94"/>
    <w:rsid w:val="00D079EF"/>
    <w:rsid w:val="00D1272D"/>
    <w:rsid w:val="00D145B9"/>
    <w:rsid w:val="00D32E4F"/>
    <w:rsid w:val="00D35B0C"/>
    <w:rsid w:val="00D40D53"/>
    <w:rsid w:val="00D40FD0"/>
    <w:rsid w:val="00D410B0"/>
    <w:rsid w:val="00D42AA8"/>
    <w:rsid w:val="00D44190"/>
    <w:rsid w:val="00D51E42"/>
    <w:rsid w:val="00D51F76"/>
    <w:rsid w:val="00D53641"/>
    <w:rsid w:val="00D54152"/>
    <w:rsid w:val="00D608AE"/>
    <w:rsid w:val="00D608B8"/>
    <w:rsid w:val="00D60C30"/>
    <w:rsid w:val="00D6676A"/>
    <w:rsid w:val="00D74303"/>
    <w:rsid w:val="00D76655"/>
    <w:rsid w:val="00D85629"/>
    <w:rsid w:val="00D861D8"/>
    <w:rsid w:val="00D94CDB"/>
    <w:rsid w:val="00D957D0"/>
    <w:rsid w:val="00DA3926"/>
    <w:rsid w:val="00DA7E3F"/>
    <w:rsid w:val="00DB416E"/>
    <w:rsid w:val="00DB70E3"/>
    <w:rsid w:val="00DC752B"/>
    <w:rsid w:val="00DE7BE8"/>
    <w:rsid w:val="00DF1252"/>
    <w:rsid w:val="00DF1368"/>
    <w:rsid w:val="00DF5213"/>
    <w:rsid w:val="00E01C7C"/>
    <w:rsid w:val="00E06EE1"/>
    <w:rsid w:val="00E10A7E"/>
    <w:rsid w:val="00E15470"/>
    <w:rsid w:val="00E1738F"/>
    <w:rsid w:val="00E20299"/>
    <w:rsid w:val="00E220C2"/>
    <w:rsid w:val="00E30FFD"/>
    <w:rsid w:val="00E31742"/>
    <w:rsid w:val="00E355E0"/>
    <w:rsid w:val="00E35D2D"/>
    <w:rsid w:val="00E406C5"/>
    <w:rsid w:val="00E427C6"/>
    <w:rsid w:val="00E4662D"/>
    <w:rsid w:val="00E5402A"/>
    <w:rsid w:val="00E55A56"/>
    <w:rsid w:val="00E6590E"/>
    <w:rsid w:val="00E71E7D"/>
    <w:rsid w:val="00E77FBE"/>
    <w:rsid w:val="00E920D4"/>
    <w:rsid w:val="00E92600"/>
    <w:rsid w:val="00E928B3"/>
    <w:rsid w:val="00E94169"/>
    <w:rsid w:val="00E95044"/>
    <w:rsid w:val="00E95E01"/>
    <w:rsid w:val="00EA0E32"/>
    <w:rsid w:val="00EA36AF"/>
    <w:rsid w:val="00EB1119"/>
    <w:rsid w:val="00EB3B46"/>
    <w:rsid w:val="00EB470A"/>
    <w:rsid w:val="00EB51C9"/>
    <w:rsid w:val="00EC572B"/>
    <w:rsid w:val="00ED0F04"/>
    <w:rsid w:val="00ED2333"/>
    <w:rsid w:val="00EE5D56"/>
    <w:rsid w:val="00EF146A"/>
    <w:rsid w:val="00EF2DBE"/>
    <w:rsid w:val="00EF3E2E"/>
    <w:rsid w:val="00F01676"/>
    <w:rsid w:val="00F13DA6"/>
    <w:rsid w:val="00F20E02"/>
    <w:rsid w:val="00F335B7"/>
    <w:rsid w:val="00F3690F"/>
    <w:rsid w:val="00F43FDE"/>
    <w:rsid w:val="00F466F2"/>
    <w:rsid w:val="00F46B79"/>
    <w:rsid w:val="00F54751"/>
    <w:rsid w:val="00F62FE1"/>
    <w:rsid w:val="00F65507"/>
    <w:rsid w:val="00F76B05"/>
    <w:rsid w:val="00F97255"/>
    <w:rsid w:val="00F974AA"/>
    <w:rsid w:val="00FA32E0"/>
    <w:rsid w:val="00FB130A"/>
    <w:rsid w:val="00FC4E42"/>
    <w:rsid w:val="00FC4F24"/>
    <w:rsid w:val="00FD322D"/>
    <w:rsid w:val="00FD3336"/>
    <w:rsid w:val="00FD3A3F"/>
    <w:rsid w:val="00FD6386"/>
    <w:rsid w:val="00FD7A44"/>
    <w:rsid w:val="00FE653C"/>
    <w:rsid w:val="00FF1E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D3CB429-B3C2-4730-9C53-251B5693E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link w:val="PrrafodelistaCar"/>
    <w:uiPriority w:val="72"/>
    <w:qFormat/>
    <w:rsid w:val="000607BA"/>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link w:val="Prrafodelista"/>
    <w:uiPriority w:val="72"/>
    <w:qFormat/>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character" w:customStyle="1" w:styleId="apple-converted-space">
    <w:name w:val="apple-converted-space"/>
    <w:basedOn w:val="Fuentedeprrafopredeter"/>
    <w:rsid w:val="002618A9"/>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92161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21613"/>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921613"/>
    <w:rPr>
      <w:vertAlign w:val="superscript"/>
    </w:rPr>
  </w:style>
  <w:style w:type="character" w:styleId="Hipervnculo">
    <w:name w:val="Hyperlink"/>
    <w:uiPriority w:val="99"/>
    <w:unhideWhenUsed/>
    <w:rsid w:val="0025033B"/>
    <w:rPr>
      <w:strike w:val="0"/>
      <w:dstrike w:val="0"/>
      <w:color w:val="035899"/>
      <w:u w:val="none"/>
      <w:effect w:val="none"/>
    </w:rPr>
  </w:style>
  <w:style w:type="table" w:styleId="Tablaconcuadrcula">
    <w:name w:val="Table Grid"/>
    <w:basedOn w:val="Tablanormal"/>
    <w:uiPriority w:val="39"/>
    <w:rsid w:val="00DE7B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09A074DC-50D2-4A24-BB1B-B2495DEB1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1477</Words>
  <Characters>8126</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USER</cp:lastModifiedBy>
  <cp:revision>4</cp:revision>
  <cp:lastPrinted>2018-11-05T16:19:00Z</cp:lastPrinted>
  <dcterms:created xsi:type="dcterms:W3CDTF">2019-03-19T21:55:00Z</dcterms:created>
  <dcterms:modified xsi:type="dcterms:W3CDTF">2019-03-19T21:57:00Z</dcterms:modified>
</cp:coreProperties>
</file>